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spacing w:after="160" w:line="276" w:lineRule="auto"/>
        <w:jc w:val="both"/>
        <w:rPr>
          <w:rStyle w:val="121"/>
        </w:rPr>
      </w:pPr>
    </w:p>
    <w:p w14:paraId="00000002">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spacing w:after="160" w:line="276" w:lineRule="auto"/>
        <w:jc w:val="center"/>
        <w:rPr>
          <w:b/>
          <w:color w:val="000000"/>
        </w:rPr>
      </w:pPr>
    </w:p>
    <w:p w14:paraId="00000003">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spacing w:after="160" w:line="276" w:lineRule="auto"/>
        <w:jc w:val="center"/>
        <w:rPr>
          <w:b/>
          <w:color w:val="000000"/>
        </w:rPr>
      </w:pPr>
    </w:p>
    <w:p w14:paraId="0000000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spacing w:after="160" w:line="276" w:lineRule="auto"/>
        <w:jc w:val="center"/>
        <w:rPr>
          <w:b/>
          <w:color w:val="000000"/>
        </w:rPr>
      </w:pPr>
    </w:p>
    <w:p w14:paraId="00000005">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spacing w:after="160" w:line="276" w:lineRule="auto"/>
        <w:jc w:val="center"/>
        <w:rPr>
          <w:b/>
          <w:color w:val="000000"/>
        </w:rPr>
      </w:pPr>
      <w:r>
        <w:rPr>
          <w:b/>
          <w:color w:val="000000"/>
        </w:rPr>
        <w:t xml:space="preserve">SAVIVALDYBĖS ĮMONĖ </w:t>
      </w:r>
      <w:r>
        <w:rPr>
          <w:b/>
        </w:rPr>
        <w:t>„VILNIAUS RAJONO AUTOBUSŲ PARKAS”</w:t>
      </w:r>
    </w:p>
    <w:p w14:paraId="0000000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spacing w:after="160" w:line="276" w:lineRule="auto"/>
        <w:ind w:firstLine="567"/>
        <w:jc w:val="center"/>
        <w:rPr>
          <w:rFonts w:ascii="Calibri" w:hAnsi="Calibri" w:eastAsia="Calibri" w:cs="Calibri"/>
          <w:color w:val="000000"/>
          <w:sz w:val="21"/>
          <w:szCs w:val="21"/>
        </w:rPr>
      </w:pPr>
      <w:r>
        <w:rPr>
          <w:b/>
          <w:color w:val="000000"/>
        </w:rPr>
        <w:t xml:space="preserve">NAUDOTŲ DYZELINU VAROMŲ PRIEMIESČIO AUTOBUSŲ TARPTAURINIO KONKURSO SPECIALIOSIOS </w:t>
      </w:r>
      <w:r>
        <w:rPr>
          <w:b/>
        </w:rPr>
        <w:t>SĄLYGOS</w:t>
      </w:r>
      <w:r>
        <w:rPr>
          <w:b/>
          <w:color w:val="000000"/>
        </w:rPr>
        <w:t xml:space="preserve"> </w:t>
      </w:r>
    </w:p>
    <w:p w14:paraId="2BACAEA8">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008">
      <w:pPr>
        <w:pBdr>
          <w:top w:val="none" w:color="000000" w:sz="0" w:space="0"/>
          <w:left w:val="none" w:color="000000" w:sz="0" w:space="0"/>
          <w:bottom w:val="none" w:color="000000" w:sz="0" w:space="0"/>
          <w:right w:val="none" w:color="000000" w:sz="0" w:space="0"/>
          <w:between w:val="none" w:color="000000" w:sz="0" w:space="0"/>
        </w:pBdr>
        <w:jc w:val="center"/>
        <w:rPr>
          <w:color w:val="000000"/>
        </w:rPr>
        <w:sectPr>
          <w:headerReference r:id="rId4" w:type="first"/>
          <w:footerReference r:id="rId6" w:type="first"/>
          <w:footerReference r:id="rId5" w:type="default"/>
          <w:pgSz w:w="11906" w:h="16838"/>
          <w:pgMar w:top="1134" w:right="567" w:bottom="1134" w:left="1701" w:header="720" w:footer="720" w:gutter="0"/>
          <w:pgNumType w:start="1"/>
          <w:cols w:space="720" w:num="1"/>
          <w:titlePg/>
          <w:docGrid w:linePitch="326" w:charSpace="0"/>
        </w:sectPr>
      </w:pPr>
      <w:r>
        <w:rPr>
          <w:color w:val="000000"/>
        </w:rPr>
        <w:t>(I</w:t>
      </w:r>
      <w:r>
        <w:rPr>
          <w:rFonts w:hint="default"/>
          <w:color w:val="000000"/>
          <w:lang w:val="en-US"/>
        </w:rPr>
        <w:t xml:space="preserve"> </w:t>
      </w:r>
      <w:r>
        <w:rPr>
          <w:color w:val="000000"/>
        </w:rPr>
        <w:t xml:space="preserve">dalis) </w:t>
      </w:r>
    </w:p>
    <w:p w14:paraId="00000009">
      <w:pPr>
        <w:pageBreakBefore/>
        <w:pBdr>
          <w:top w:val="none" w:color="000000" w:sz="0" w:space="0"/>
          <w:left w:val="none" w:color="000000" w:sz="0" w:space="0"/>
          <w:bottom w:val="none" w:color="000000" w:sz="0" w:space="0"/>
          <w:right w:val="none" w:color="000000" w:sz="0" w:space="0"/>
          <w:between w:val="none" w:color="000000" w:sz="0" w:space="0"/>
        </w:pBdr>
        <w:spacing w:after="120"/>
        <w:rPr>
          <w:color w:val="000000"/>
        </w:rPr>
      </w:pPr>
    </w:p>
    <w:p w14:paraId="0000000A">
      <w:pPr>
        <w:keepNext/>
        <w:keepLines/>
        <w:pBdr>
          <w:top w:val="none" w:color="000000" w:sz="0" w:space="0"/>
          <w:left w:val="none" w:color="000000" w:sz="0" w:space="0"/>
          <w:bottom w:val="single" w:color="ED7D31" w:sz="4" w:space="2"/>
          <w:right w:val="none" w:color="000000" w:sz="0" w:space="0"/>
          <w:between w:val="none" w:color="000000" w:sz="0" w:space="0"/>
        </w:pBdr>
        <w:spacing w:after="120"/>
        <w:ind w:left="432" w:hanging="432"/>
        <w:rPr>
          <w:rFonts w:ascii="Calibri" w:hAnsi="Calibri" w:eastAsia="Calibri" w:cs="Calibri"/>
          <w:color w:val="262626"/>
          <w:sz w:val="40"/>
          <w:szCs w:val="40"/>
        </w:rPr>
      </w:pPr>
      <w:r>
        <w:rPr>
          <w:color w:val="262626"/>
        </w:rPr>
        <w:t>TURINYS</w:t>
      </w:r>
    </w:p>
    <w:sdt>
      <w:sdtPr>
        <w:id w:val="-2116702831"/>
        <w:docPartObj>
          <w:docPartGallery w:val="Table of Contents"/>
          <w:docPartUnique/>
        </w:docPartObj>
      </w:sdtPr>
      <w:sdtContent>
        <w:p w14:paraId="0000000B">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TOC \h \u \z \t "Heading 1,1,Heading 2,2,Heading 3,3,"</w:instrText>
          </w:r>
          <w:r>
            <w:fldChar w:fldCharType="separate"/>
          </w:r>
          <w:r>
            <w:fldChar w:fldCharType="begin"/>
          </w:r>
          <w:r>
            <w:instrText xml:space="preserve"> HYPERLINK \l "_heading=h.n3x7wamtcprb" \h </w:instrText>
          </w:r>
          <w:r>
            <w:fldChar w:fldCharType="separate"/>
          </w:r>
          <w:r>
            <w:rPr>
              <w:rFonts w:ascii="Calibri" w:hAnsi="Calibri" w:eastAsia="Calibri" w:cs="Calibri"/>
              <w:color w:val="000000"/>
              <w:sz w:val="21"/>
              <w:szCs w:val="21"/>
            </w:rPr>
            <w:t>1.</w:t>
          </w:r>
          <w:r>
            <w:rPr>
              <w:rFonts w:ascii="Calibri" w:hAnsi="Calibri" w:eastAsia="Calibri" w:cs="Calibri"/>
              <w:color w:val="000000"/>
              <w:sz w:val="21"/>
              <w:szCs w:val="21"/>
            </w:rPr>
            <w:tab/>
          </w:r>
          <w:r>
            <w:rPr>
              <w:rFonts w:ascii="Calibri" w:hAnsi="Calibri" w:eastAsia="Calibri" w:cs="Calibri"/>
              <w:color w:val="000000"/>
              <w:sz w:val="21"/>
              <w:szCs w:val="21"/>
            </w:rPr>
            <w:t>Bendra informacija</w:t>
          </w:r>
          <w:r>
            <w:rPr>
              <w:rFonts w:ascii="Calibri" w:hAnsi="Calibri" w:eastAsia="Calibri" w:cs="Calibri"/>
              <w:color w:val="000000"/>
              <w:sz w:val="21"/>
              <w:szCs w:val="21"/>
            </w:rPr>
            <w:tab/>
          </w:r>
          <w:r>
            <w:rPr>
              <w:rFonts w:ascii="Calibri" w:hAnsi="Calibri" w:eastAsia="Calibri" w:cs="Calibri"/>
              <w:color w:val="000000"/>
              <w:sz w:val="21"/>
              <w:szCs w:val="21"/>
            </w:rPr>
            <w:t>3</w:t>
          </w:r>
          <w:r>
            <w:rPr>
              <w:rFonts w:ascii="Calibri" w:hAnsi="Calibri" w:eastAsia="Calibri" w:cs="Calibri"/>
              <w:color w:val="000000"/>
              <w:sz w:val="21"/>
              <w:szCs w:val="21"/>
            </w:rPr>
            <w:fldChar w:fldCharType="end"/>
          </w:r>
        </w:p>
        <w:p w14:paraId="0000000C">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"_heading=h.rn8ym4kzjhmi" \h </w:instrText>
          </w:r>
          <w:r>
            <w:fldChar w:fldCharType="separate"/>
          </w:r>
          <w:r>
            <w:rPr>
              <w:rFonts w:ascii="Calibri" w:hAnsi="Calibri" w:eastAsia="Calibri" w:cs="Calibri"/>
              <w:color w:val="000000"/>
              <w:sz w:val="21"/>
              <w:szCs w:val="21"/>
            </w:rPr>
            <w:t>2.  Pirkimo objektas</w:t>
          </w:r>
          <w:r>
            <w:rPr>
              <w:rFonts w:ascii="Calibri" w:hAnsi="Calibri" w:eastAsia="Calibri" w:cs="Calibri"/>
              <w:color w:val="000000"/>
              <w:sz w:val="21"/>
              <w:szCs w:val="21"/>
            </w:rPr>
            <w:tab/>
          </w:r>
          <w:r>
            <w:rPr>
              <w:rFonts w:ascii="Calibri" w:hAnsi="Calibri" w:eastAsia="Calibri" w:cs="Calibri"/>
              <w:color w:val="000000"/>
              <w:sz w:val="21"/>
              <w:szCs w:val="21"/>
            </w:rPr>
            <w:t>3</w:t>
          </w:r>
          <w:r>
            <w:rPr>
              <w:rFonts w:ascii="Calibri" w:hAnsi="Calibri" w:eastAsia="Calibri" w:cs="Calibri"/>
              <w:color w:val="000000"/>
              <w:sz w:val="21"/>
              <w:szCs w:val="21"/>
            </w:rPr>
            <w:fldChar w:fldCharType="end"/>
          </w:r>
        </w:p>
        <w:p w14:paraId="0000000D">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"_heading=h.8pfz24apd8nx" \h </w:instrText>
          </w:r>
          <w:r>
            <w:fldChar w:fldCharType="separate"/>
          </w:r>
          <w:r>
            <w:rPr>
              <w:rFonts w:ascii="Calibri" w:hAnsi="Calibri" w:eastAsia="Calibri" w:cs="Calibri"/>
              <w:color w:val="000000"/>
              <w:sz w:val="21"/>
              <w:szCs w:val="21"/>
            </w:rPr>
            <w:t>3.  Susitikimai su tiekėjais ir objekto apžiūra</w:t>
          </w:r>
          <w:r>
            <w:rPr>
              <w:rFonts w:ascii="Calibri" w:hAnsi="Calibri" w:eastAsia="Calibri" w:cs="Calibri"/>
              <w:color w:val="000000"/>
              <w:sz w:val="21"/>
              <w:szCs w:val="21"/>
            </w:rPr>
            <w:tab/>
          </w:r>
          <w:r>
            <w:rPr>
              <w:rFonts w:ascii="Calibri" w:hAnsi="Calibri" w:eastAsia="Calibri" w:cs="Calibri"/>
              <w:color w:val="000000"/>
              <w:sz w:val="21"/>
              <w:szCs w:val="21"/>
            </w:rPr>
            <w:t>4</w:t>
          </w:r>
          <w:r>
            <w:rPr>
              <w:rFonts w:ascii="Calibri" w:hAnsi="Calibri" w:eastAsia="Calibri" w:cs="Calibri"/>
              <w:color w:val="000000"/>
              <w:sz w:val="21"/>
              <w:szCs w:val="21"/>
            </w:rPr>
            <w:fldChar w:fldCharType="end"/>
          </w:r>
        </w:p>
        <w:p w14:paraId="0000000E">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"_heading=h.2ewt5dikv0gx" \h </w:instrText>
          </w:r>
          <w:r>
            <w:fldChar w:fldCharType="separate"/>
          </w:r>
          <w:r>
            <w:rPr>
              <w:rFonts w:ascii="Calibri" w:hAnsi="Calibri" w:eastAsia="Calibri" w:cs="Calibri"/>
              <w:color w:val="000000"/>
              <w:sz w:val="21"/>
              <w:szCs w:val="21"/>
            </w:rPr>
            <w:t>4.  Tiekėjų pašalinimo pagrindai ir kvalifikacijos reikalavimai</w:t>
          </w:r>
          <w:r>
            <w:rPr>
              <w:rFonts w:ascii="Calibri" w:hAnsi="Calibri" w:eastAsia="Calibri" w:cs="Calibri"/>
              <w:color w:val="000000"/>
              <w:sz w:val="21"/>
              <w:szCs w:val="21"/>
            </w:rPr>
            <w:tab/>
          </w:r>
          <w:r>
            <w:rPr>
              <w:rFonts w:ascii="Calibri" w:hAnsi="Calibri" w:eastAsia="Calibri" w:cs="Calibri"/>
              <w:color w:val="000000"/>
              <w:sz w:val="21"/>
              <w:szCs w:val="21"/>
            </w:rPr>
            <w:t>5</w:t>
          </w:r>
          <w:r>
            <w:rPr>
              <w:rFonts w:ascii="Calibri" w:hAnsi="Calibri" w:eastAsia="Calibri" w:cs="Calibri"/>
              <w:color w:val="000000"/>
              <w:sz w:val="21"/>
              <w:szCs w:val="21"/>
            </w:rPr>
            <w:fldChar w:fldCharType="end"/>
          </w:r>
        </w:p>
        <w:p w14:paraId="0000000F">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"_heading=h.hrfpsnfyclw7" \h </w:instrText>
          </w:r>
          <w:r>
            <w:fldChar w:fldCharType="separate"/>
          </w:r>
          <w:r>
            <w:rPr>
              <w:rFonts w:ascii="Calibri" w:hAnsi="Calibri" w:eastAsia="Calibri" w:cs="Calibri"/>
              <w:color w:val="000000"/>
              <w:sz w:val="21"/>
              <w:szCs w:val="21"/>
            </w:rPr>
            <w:t>5.  Reikalavimai, susiję su nacionaliniu saugumu</w:t>
          </w:r>
          <w:r>
            <w:rPr>
              <w:rFonts w:ascii="Calibri" w:hAnsi="Calibri" w:eastAsia="Calibri" w:cs="Calibri"/>
              <w:color w:val="000000"/>
              <w:sz w:val="21"/>
              <w:szCs w:val="21"/>
            </w:rPr>
            <w:tab/>
          </w:r>
          <w:r>
            <w:rPr>
              <w:rFonts w:ascii="Calibri" w:hAnsi="Calibri" w:eastAsia="Calibri" w:cs="Calibri"/>
              <w:color w:val="000000"/>
              <w:sz w:val="21"/>
              <w:szCs w:val="21"/>
            </w:rPr>
            <w:t>5</w:t>
          </w:r>
          <w:r>
            <w:rPr>
              <w:rFonts w:ascii="Calibri" w:hAnsi="Calibri" w:eastAsia="Calibri" w:cs="Calibri"/>
              <w:color w:val="000000"/>
              <w:sz w:val="21"/>
              <w:szCs w:val="21"/>
            </w:rPr>
            <w:fldChar w:fldCharType="end"/>
          </w:r>
        </w:p>
        <w:p w14:paraId="00000010">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"_heading=h.sn1r317kitxx" \h </w:instrText>
          </w:r>
          <w:r>
            <w:fldChar w:fldCharType="separate"/>
          </w:r>
          <w:r>
            <w:rPr>
              <w:rFonts w:ascii="Calibri" w:hAnsi="Calibri" w:eastAsia="Calibri" w:cs="Calibri"/>
              <w:color w:val="000000"/>
              <w:sz w:val="21"/>
              <w:szCs w:val="21"/>
            </w:rPr>
            <w:t>6.  Specialieji reikalavimai pasiūlymų rengimui ir pateikimui</w:t>
          </w:r>
          <w:r>
            <w:rPr>
              <w:rFonts w:ascii="Calibri" w:hAnsi="Calibri" w:eastAsia="Calibri" w:cs="Calibri"/>
              <w:color w:val="000000"/>
              <w:sz w:val="21"/>
              <w:szCs w:val="21"/>
            </w:rPr>
            <w:tab/>
          </w:r>
          <w:r>
            <w:rPr>
              <w:rFonts w:ascii="Calibri" w:hAnsi="Calibri" w:eastAsia="Calibri" w:cs="Calibri"/>
              <w:color w:val="000000"/>
              <w:sz w:val="21"/>
              <w:szCs w:val="21"/>
            </w:rPr>
            <w:t>5</w:t>
          </w:r>
          <w:r>
            <w:rPr>
              <w:rFonts w:ascii="Calibri" w:hAnsi="Calibri" w:eastAsia="Calibri" w:cs="Calibri"/>
              <w:color w:val="000000"/>
              <w:sz w:val="21"/>
              <w:szCs w:val="21"/>
            </w:rPr>
            <w:fldChar w:fldCharType="end"/>
          </w:r>
        </w:p>
        <w:p w14:paraId="00000011">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"_heading=h.e2cks45t3zpq" \h </w:instrText>
          </w:r>
          <w:r>
            <w:fldChar w:fldCharType="separate"/>
          </w:r>
          <w:r>
            <w:rPr>
              <w:rFonts w:ascii="Calibri" w:hAnsi="Calibri" w:eastAsia="Calibri" w:cs="Calibri"/>
              <w:color w:val="000000"/>
              <w:sz w:val="21"/>
              <w:szCs w:val="21"/>
            </w:rPr>
            <w:t>7.</w:t>
          </w:r>
          <w:r>
            <w:rPr>
              <w:rFonts w:ascii="Calibri" w:hAnsi="Calibri" w:eastAsia="Calibri" w:cs="Calibri"/>
              <w:color w:val="000000"/>
              <w:sz w:val="21"/>
              <w:szCs w:val="21"/>
            </w:rPr>
            <w:tab/>
          </w:r>
          <w:r>
            <w:rPr>
              <w:rFonts w:ascii="Calibri" w:hAnsi="Calibri" w:eastAsia="Calibri" w:cs="Calibri"/>
              <w:color w:val="000000"/>
              <w:sz w:val="21"/>
              <w:szCs w:val="21"/>
            </w:rPr>
            <w:t>Pasiūlymo galiojimo užtikrinimas</w:t>
          </w:r>
          <w:r>
            <w:rPr>
              <w:rFonts w:ascii="Calibri" w:hAnsi="Calibri" w:eastAsia="Calibri" w:cs="Calibri"/>
              <w:color w:val="000000"/>
              <w:sz w:val="21"/>
              <w:szCs w:val="21"/>
            </w:rPr>
            <w:tab/>
          </w:r>
          <w:r>
            <w:rPr>
              <w:rFonts w:ascii="Calibri" w:hAnsi="Calibri" w:eastAsia="Calibri" w:cs="Calibri"/>
              <w:color w:val="000000"/>
              <w:sz w:val="21"/>
              <w:szCs w:val="21"/>
            </w:rPr>
            <w:t>6</w:t>
          </w:r>
          <w:r>
            <w:rPr>
              <w:rFonts w:ascii="Calibri" w:hAnsi="Calibri" w:eastAsia="Calibri" w:cs="Calibri"/>
              <w:color w:val="000000"/>
              <w:sz w:val="21"/>
              <w:szCs w:val="21"/>
            </w:rPr>
            <w:fldChar w:fldCharType="end"/>
          </w:r>
        </w:p>
        <w:p w14:paraId="00000012">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"_heading=h.at168wwi27x9" \h </w:instrText>
          </w:r>
          <w:r>
            <w:fldChar w:fldCharType="separate"/>
          </w:r>
          <w:r>
            <w:rPr>
              <w:rFonts w:ascii="Calibri" w:hAnsi="Calibri" w:eastAsia="Calibri" w:cs="Calibri"/>
              <w:color w:val="000000"/>
              <w:sz w:val="21"/>
              <w:szCs w:val="21"/>
            </w:rPr>
            <w:t>8.</w:t>
          </w:r>
          <w:r>
            <w:rPr>
              <w:rFonts w:ascii="Calibri" w:hAnsi="Calibri" w:eastAsia="Calibri" w:cs="Calibri"/>
              <w:color w:val="000000"/>
              <w:sz w:val="21"/>
              <w:szCs w:val="21"/>
            </w:rPr>
            <w:tab/>
          </w:r>
          <w:r>
            <w:rPr>
              <w:rFonts w:ascii="Calibri" w:hAnsi="Calibri" w:eastAsia="Calibri" w:cs="Calibri"/>
              <w:color w:val="000000"/>
              <w:sz w:val="21"/>
              <w:szCs w:val="21"/>
            </w:rPr>
            <w:t>Elektroninis aukcionas</w:t>
          </w:r>
          <w:r>
            <w:rPr>
              <w:rFonts w:ascii="Calibri" w:hAnsi="Calibri" w:eastAsia="Calibri" w:cs="Calibri"/>
              <w:color w:val="000000"/>
              <w:sz w:val="21"/>
              <w:szCs w:val="21"/>
            </w:rPr>
            <w:tab/>
          </w:r>
          <w:r>
            <w:rPr>
              <w:rFonts w:ascii="Calibri" w:hAnsi="Calibri" w:eastAsia="Calibri" w:cs="Calibri"/>
              <w:color w:val="000000"/>
              <w:sz w:val="21"/>
              <w:szCs w:val="21"/>
            </w:rPr>
            <w:t>7</w:t>
          </w:r>
          <w:r>
            <w:rPr>
              <w:rFonts w:ascii="Calibri" w:hAnsi="Calibri" w:eastAsia="Calibri" w:cs="Calibri"/>
              <w:color w:val="000000"/>
              <w:sz w:val="21"/>
              <w:szCs w:val="21"/>
            </w:rPr>
            <w:fldChar w:fldCharType="end"/>
          </w:r>
        </w:p>
        <w:p w14:paraId="00000013">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"_heading=h.a51ye48zij2" \h </w:instrText>
          </w:r>
          <w:r>
            <w:fldChar w:fldCharType="separate"/>
          </w:r>
          <w:r>
            <w:rPr>
              <w:rFonts w:ascii="Calibri" w:hAnsi="Calibri" w:eastAsia="Calibri" w:cs="Calibri"/>
              <w:color w:val="000000"/>
              <w:sz w:val="21"/>
              <w:szCs w:val="21"/>
            </w:rPr>
            <w:t>9.</w:t>
          </w:r>
          <w:r>
            <w:rPr>
              <w:rFonts w:ascii="Calibri" w:hAnsi="Calibri" w:eastAsia="Calibri" w:cs="Calibri"/>
              <w:color w:val="000000"/>
              <w:sz w:val="21"/>
              <w:szCs w:val="21"/>
            </w:rPr>
            <w:tab/>
          </w:r>
          <w:r>
            <w:rPr>
              <w:rFonts w:ascii="Calibri" w:hAnsi="Calibri" w:eastAsia="Calibri" w:cs="Calibri"/>
              <w:color w:val="000000"/>
              <w:sz w:val="21"/>
              <w:szCs w:val="21"/>
            </w:rPr>
            <w:t>Pasiūlymų vertinimas</w:t>
          </w:r>
          <w:r>
            <w:rPr>
              <w:rFonts w:ascii="Calibri" w:hAnsi="Calibri" w:eastAsia="Calibri" w:cs="Calibri"/>
              <w:color w:val="000000"/>
              <w:sz w:val="21"/>
              <w:szCs w:val="21"/>
            </w:rPr>
            <w:tab/>
          </w:r>
          <w:r>
            <w:rPr>
              <w:rFonts w:ascii="Calibri" w:hAnsi="Calibri" w:eastAsia="Calibri" w:cs="Calibri"/>
              <w:color w:val="000000"/>
              <w:sz w:val="21"/>
              <w:szCs w:val="21"/>
            </w:rPr>
            <w:t>7</w:t>
          </w:r>
          <w:r>
            <w:rPr>
              <w:rFonts w:ascii="Calibri" w:hAnsi="Calibri" w:eastAsia="Calibri" w:cs="Calibri"/>
              <w:color w:val="000000"/>
              <w:sz w:val="21"/>
              <w:szCs w:val="21"/>
            </w:rPr>
            <w:fldChar w:fldCharType="end"/>
          </w:r>
        </w:p>
        <w:p w14:paraId="00000014">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"_heading=h.nmzeu5sqdw1z" \h </w:instrText>
          </w:r>
          <w:r>
            <w:fldChar w:fldCharType="separate"/>
          </w:r>
          <w:r>
            <w:rPr>
              <w:rFonts w:ascii="Calibri" w:hAnsi="Calibri" w:eastAsia="Calibri" w:cs="Calibri"/>
              <w:color w:val="000000"/>
              <w:sz w:val="21"/>
              <w:szCs w:val="21"/>
            </w:rPr>
            <w:t>10. Sutarties sudarymas</w:t>
          </w:r>
          <w:r>
            <w:rPr>
              <w:rFonts w:ascii="Calibri" w:hAnsi="Calibri" w:eastAsia="Calibri" w:cs="Calibri"/>
              <w:color w:val="000000"/>
              <w:sz w:val="21"/>
              <w:szCs w:val="21"/>
            </w:rPr>
            <w:tab/>
          </w:r>
          <w:r>
            <w:rPr>
              <w:rFonts w:ascii="Calibri" w:hAnsi="Calibri" w:eastAsia="Calibri" w:cs="Calibri"/>
              <w:color w:val="000000"/>
              <w:sz w:val="21"/>
              <w:szCs w:val="21"/>
            </w:rPr>
            <w:t>7</w:t>
          </w:r>
          <w:r>
            <w:rPr>
              <w:rFonts w:ascii="Calibri" w:hAnsi="Calibri" w:eastAsia="Calibri" w:cs="Calibri"/>
              <w:color w:val="000000"/>
              <w:sz w:val="21"/>
              <w:szCs w:val="21"/>
            </w:rPr>
            <w:fldChar w:fldCharType="end"/>
          </w:r>
        </w:p>
        <w:p w14:paraId="00000015">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fldChar w:fldCharType="begin"/>
          </w:r>
          <w:r>
            <w:instrText xml:space="preserve"> HYPERLINK \l "_heading=h.esj1p39wjb8t" \h </w:instrText>
          </w:r>
          <w:r>
            <w:fldChar w:fldCharType="separate"/>
          </w:r>
          <w:r>
            <w:rPr>
              <w:rFonts w:ascii="Calibri" w:hAnsi="Calibri" w:eastAsia="Calibri" w:cs="Calibri"/>
              <w:color w:val="000000"/>
              <w:sz w:val="21"/>
              <w:szCs w:val="21"/>
            </w:rPr>
            <w:t>11. Kitos sąlygos</w:t>
          </w:r>
          <w:r>
            <w:rPr>
              <w:rFonts w:ascii="Calibri" w:hAnsi="Calibri" w:eastAsia="Calibri" w:cs="Calibri"/>
              <w:color w:val="000000"/>
              <w:sz w:val="21"/>
              <w:szCs w:val="21"/>
            </w:rPr>
            <w:tab/>
          </w:r>
          <w:r>
            <w:rPr>
              <w:rFonts w:ascii="Calibri" w:hAnsi="Calibri" w:eastAsia="Calibri" w:cs="Calibri"/>
              <w:color w:val="000000"/>
              <w:sz w:val="21"/>
              <w:szCs w:val="21"/>
            </w:rPr>
            <w:fldChar w:fldCharType="end"/>
          </w:r>
        </w:p>
        <w:p w14:paraId="00000016">
          <w:pPr>
            <w:pBdr>
              <w:top w:val="none" w:color="000000" w:sz="0" w:space="0"/>
              <w:left w:val="none" w:color="000000" w:sz="0" w:space="0"/>
              <w:bottom w:val="none" w:color="000000" w:sz="0" w:space="0"/>
              <w:right w:val="none" w:color="000000" w:sz="0" w:space="0"/>
              <w:between w:val="none" w:color="000000" w:sz="0" w:space="0"/>
            </w:pBdr>
            <w:tabs>
              <w:tab w:val="right" w:pos="142"/>
              <w:tab w:val="right" w:pos="9962"/>
            </w:tabs>
            <w:spacing w:line="276" w:lineRule="auto"/>
            <w:ind w:left="426" w:hanging="284"/>
            <w:rPr>
              <w:rFonts w:ascii="Calibri" w:hAnsi="Calibri" w:eastAsia="Calibri" w:cs="Calibri"/>
              <w:color w:val="000000"/>
              <w:sz w:val="21"/>
              <w:szCs w:val="21"/>
            </w:rPr>
          </w:pPr>
          <w:r>
            <w:rPr>
              <w:rFonts w:ascii="Calibri" w:hAnsi="Calibri" w:eastAsia="Calibri" w:cs="Calibri"/>
              <w:color w:val="000000"/>
              <w:sz w:val="21"/>
              <w:szCs w:val="21"/>
            </w:rPr>
            <w:t xml:space="preserve">  </w:t>
          </w:r>
          <w:r>
            <w:fldChar w:fldCharType="begin"/>
          </w:r>
          <w:r>
            <w:instrText xml:space="preserve"> HYPERLINK \l "_heading=h.t06k2rcspa8y" \h </w:instrText>
          </w:r>
          <w:r>
            <w:fldChar w:fldCharType="separate"/>
          </w:r>
          <w:r>
            <w:rPr>
              <w:rFonts w:ascii="Calibri" w:hAnsi="Calibri" w:eastAsia="Calibri" w:cs="Calibri"/>
              <w:color w:val="000000"/>
              <w:sz w:val="21"/>
              <w:szCs w:val="21"/>
            </w:rPr>
            <w:t>Pirkimo sąlygų 1 priedas „Terminai“</w:t>
          </w:r>
          <w:r>
            <w:rPr>
              <w:rFonts w:ascii="Calibri" w:hAnsi="Calibri" w:eastAsia="Calibri" w:cs="Calibri"/>
              <w:color w:val="000000"/>
              <w:sz w:val="21"/>
              <w:szCs w:val="21"/>
            </w:rPr>
            <w:tab/>
          </w:r>
          <w:r>
            <w:rPr>
              <w:rFonts w:ascii="Calibri" w:hAnsi="Calibri" w:eastAsia="Calibri" w:cs="Calibri"/>
              <w:color w:val="000000"/>
              <w:sz w:val="21"/>
              <w:szCs w:val="21"/>
            </w:rPr>
            <w:t>8</w:t>
          </w:r>
          <w:r>
            <w:rPr>
              <w:rFonts w:ascii="Calibri" w:hAnsi="Calibri" w:eastAsia="Calibri" w:cs="Calibri"/>
              <w:color w:val="000000"/>
              <w:sz w:val="21"/>
              <w:szCs w:val="21"/>
            </w:rPr>
            <w:fldChar w:fldCharType="end"/>
          </w:r>
        </w:p>
        <w:p w14:paraId="00000017">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rPr>
          </w:pPr>
          <w:r>
            <w:fldChar w:fldCharType="begin"/>
          </w:r>
          <w:r>
            <w:instrText xml:space="preserve"> HYPERLINK \l "_heading=h.b1aaxrtieaba" \h </w:instrText>
          </w:r>
          <w:r>
            <w:fldChar w:fldCharType="separate"/>
          </w:r>
          <w:r>
            <w:rPr>
              <w:rFonts w:ascii="Calibri" w:hAnsi="Calibri" w:eastAsia="Calibri" w:cs="Calibri"/>
              <w:color w:val="000000"/>
              <w:sz w:val="21"/>
              <w:szCs w:val="21"/>
            </w:rPr>
            <w:t>Pirkimo sąlygų 2 priedas „Techninė specifikacija“</w:t>
          </w:r>
          <w:r>
            <w:rPr>
              <w:rFonts w:ascii="Calibri" w:hAnsi="Calibri" w:eastAsia="Calibri" w:cs="Calibri"/>
              <w:color w:val="000000"/>
              <w:sz w:val="21"/>
              <w:szCs w:val="21"/>
            </w:rPr>
            <w:tab/>
          </w:r>
          <w:r>
            <w:rPr>
              <w:rFonts w:ascii="Calibri" w:hAnsi="Calibri" w:eastAsia="Calibri" w:cs="Calibri"/>
              <w:color w:val="000000"/>
              <w:sz w:val="21"/>
              <w:szCs w:val="21"/>
            </w:rPr>
            <w:t>11</w:t>
          </w:r>
          <w:r>
            <w:rPr>
              <w:rFonts w:ascii="Calibri" w:hAnsi="Calibri" w:eastAsia="Calibri" w:cs="Calibri"/>
              <w:color w:val="000000"/>
              <w:sz w:val="21"/>
              <w:szCs w:val="21"/>
            </w:rPr>
            <w:fldChar w:fldCharType="end"/>
          </w:r>
        </w:p>
        <w:p w14:paraId="00000018">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u w:val="single"/>
            </w:rPr>
          </w:pPr>
          <w:r>
            <w:fldChar w:fldCharType="begin"/>
          </w:r>
          <w:r>
            <w:instrText xml:space="preserve"> HYPERLINK \l "bookmark=id.6r5jyueqzkvh" \h </w:instrText>
          </w:r>
          <w:r>
            <w:fldChar w:fldCharType="separate"/>
          </w:r>
          <w:r>
            <w:rPr>
              <w:rFonts w:ascii="Calibri" w:hAnsi="Calibri" w:eastAsia="Calibri" w:cs="Calibri"/>
              <w:color w:val="000000"/>
              <w:sz w:val="21"/>
              <w:szCs w:val="21"/>
            </w:rPr>
            <w:t>Pirkimo sąlygų 3 priedas „Tiekėjų pašalinimo pagrindai“</w:t>
          </w:r>
          <w:r>
            <w:rPr>
              <w:rFonts w:ascii="Calibri" w:hAnsi="Calibri" w:eastAsia="Calibri" w:cs="Calibri"/>
              <w:color w:val="000000"/>
              <w:sz w:val="21"/>
              <w:szCs w:val="21"/>
            </w:rPr>
            <w:tab/>
          </w:r>
          <w:r>
            <w:rPr>
              <w:rFonts w:ascii="Calibri" w:hAnsi="Calibri" w:eastAsia="Calibri" w:cs="Calibri"/>
              <w:color w:val="000000"/>
              <w:sz w:val="21"/>
              <w:szCs w:val="21"/>
            </w:rPr>
            <w:t>24</w:t>
          </w:r>
          <w:r>
            <w:rPr>
              <w:rFonts w:ascii="Calibri" w:hAnsi="Calibri" w:eastAsia="Calibri" w:cs="Calibri"/>
              <w:color w:val="000000"/>
              <w:sz w:val="21"/>
              <w:szCs w:val="21"/>
            </w:rPr>
            <w:fldChar w:fldCharType="end"/>
          </w:r>
          <w:r>
            <w:fldChar w:fldCharType="begin"/>
          </w:r>
          <w:r>
            <w:instrText xml:space="preserve"> HYPERLINK \l "bookmark=id.6r5jyueqzkvh" </w:instrText>
          </w:r>
          <w:r>
            <w:fldChar w:fldCharType="separate"/>
          </w:r>
        </w:p>
        <w:p w14:paraId="00000019">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rPr>
          </w:pPr>
          <w:bookmarkStart w:id="0" w:name="_heading=h.bjau4hk3ama7" w:colFirst="0" w:colLast="0"/>
          <w:bookmarkEnd w:id="0"/>
          <w:r>
            <w:fldChar w:fldCharType="end"/>
          </w:r>
          <w:r>
            <w:fldChar w:fldCharType="begin"/>
          </w:r>
          <w:r>
            <w:instrText xml:space="preserve"> HYPERLINK \l "_heading=h.qu25ineaeld0" \h </w:instrText>
          </w:r>
          <w:r>
            <w:fldChar w:fldCharType="separate"/>
          </w:r>
          <w:r>
            <w:rPr>
              <w:rFonts w:ascii="Calibri" w:hAnsi="Calibri" w:eastAsia="Calibri" w:cs="Calibri"/>
              <w:color w:val="000000"/>
              <w:sz w:val="21"/>
              <w:szCs w:val="21"/>
            </w:rPr>
            <w:t>Pirkimo sąlygų 4 priedas „Tiekėjų kvalifikacijos reikalavimai“</w:t>
          </w:r>
          <w:r>
            <w:rPr>
              <w:rFonts w:ascii="Calibri" w:hAnsi="Calibri" w:eastAsia="Calibri" w:cs="Calibri"/>
              <w:color w:val="000000"/>
              <w:sz w:val="21"/>
              <w:szCs w:val="21"/>
            </w:rPr>
            <w:tab/>
          </w:r>
          <w:r>
            <w:rPr>
              <w:rFonts w:ascii="Calibri" w:hAnsi="Calibri" w:eastAsia="Calibri" w:cs="Calibri"/>
              <w:color w:val="000000"/>
              <w:sz w:val="21"/>
              <w:szCs w:val="21"/>
            </w:rPr>
            <w:t>35</w:t>
          </w:r>
          <w:r>
            <w:rPr>
              <w:rFonts w:ascii="Calibri" w:hAnsi="Calibri" w:eastAsia="Calibri" w:cs="Calibri"/>
              <w:color w:val="000000"/>
              <w:sz w:val="21"/>
              <w:szCs w:val="21"/>
            </w:rPr>
            <w:fldChar w:fldCharType="end"/>
          </w:r>
        </w:p>
        <w:p w14:paraId="0000001A">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rPr>
          </w:pPr>
          <w:r>
            <w:fldChar w:fldCharType="begin"/>
          </w:r>
          <w:r>
            <w:instrText xml:space="preserve"> HYPERLINK \l "_heading=h.rvk83s3gptpm" \h </w:instrText>
          </w:r>
          <w:r>
            <w:fldChar w:fldCharType="separate"/>
          </w:r>
          <w:r>
            <w:rPr>
              <w:rFonts w:ascii="Calibri" w:hAnsi="Calibri" w:eastAsia="Calibri" w:cs="Calibri"/>
              <w:color w:val="000000"/>
              <w:sz w:val="21"/>
              <w:szCs w:val="21"/>
            </w:rPr>
            <w:t>Pirkimo sąlygų 5 priedas „EBVPD“ (XML formatu)</w:t>
          </w:r>
          <w:r>
            <w:rPr>
              <w:rFonts w:ascii="Calibri" w:hAnsi="Calibri" w:eastAsia="Calibri" w:cs="Calibri"/>
              <w:color w:val="000000"/>
              <w:sz w:val="21"/>
              <w:szCs w:val="21"/>
            </w:rPr>
            <w:tab/>
          </w:r>
          <w:r>
            <w:rPr>
              <w:rFonts w:ascii="Calibri" w:hAnsi="Calibri" w:eastAsia="Calibri" w:cs="Calibri"/>
              <w:color w:val="000000"/>
              <w:sz w:val="21"/>
              <w:szCs w:val="21"/>
            </w:rPr>
            <w:t>37</w:t>
          </w:r>
          <w:r>
            <w:rPr>
              <w:rFonts w:ascii="Calibri" w:hAnsi="Calibri" w:eastAsia="Calibri" w:cs="Calibri"/>
              <w:color w:val="000000"/>
              <w:sz w:val="21"/>
              <w:szCs w:val="21"/>
            </w:rPr>
            <w:fldChar w:fldCharType="end"/>
          </w:r>
        </w:p>
        <w:p w14:paraId="0000001B">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rPr>
          </w:pPr>
          <w:r>
            <w:fldChar w:fldCharType="begin"/>
          </w:r>
          <w:r>
            <w:instrText xml:space="preserve"> HYPERLINK \l "_heading=h.clih3x1mma4x" \h </w:instrText>
          </w:r>
          <w:r>
            <w:fldChar w:fldCharType="separate"/>
          </w:r>
          <w:r>
            <w:rPr>
              <w:rFonts w:ascii="Calibri" w:hAnsi="Calibri" w:eastAsia="Calibri" w:cs="Calibri"/>
              <w:color w:val="000000"/>
              <w:sz w:val="21"/>
              <w:szCs w:val="21"/>
            </w:rPr>
            <w:t>Pirkimo sąlygų 6 priedas „Pasiūlymo forma“</w:t>
          </w:r>
          <w:r>
            <w:rPr>
              <w:rFonts w:ascii="Calibri" w:hAnsi="Calibri" w:eastAsia="Calibri" w:cs="Calibri"/>
              <w:color w:val="000000"/>
              <w:sz w:val="21"/>
              <w:szCs w:val="21"/>
            </w:rPr>
            <w:tab/>
          </w:r>
          <w:r>
            <w:rPr>
              <w:rFonts w:ascii="Calibri" w:hAnsi="Calibri" w:eastAsia="Calibri" w:cs="Calibri"/>
              <w:color w:val="000000"/>
              <w:sz w:val="21"/>
              <w:szCs w:val="21"/>
            </w:rPr>
            <w:t>3</w:t>
          </w:r>
          <w:r>
            <w:rPr>
              <w:rFonts w:ascii="Calibri" w:hAnsi="Calibri" w:eastAsia="Calibri" w:cs="Calibri"/>
              <w:color w:val="000000"/>
              <w:sz w:val="21"/>
              <w:szCs w:val="21"/>
            </w:rPr>
            <w:fldChar w:fldCharType="end"/>
          </w:r>
          <w:r>
            <w:rPr>
              <w:rFonts w:ascii="Calibri" w:hAnsi="Calibri" w:eastAsia="Calibri" w:cs="Calibri"/>
              <w:color w:val="000000"/>
              <w:sz w:val="21"/>
              <w:szCs w:val="21"/>
            </w:rPr>
            <w:t>8</w:t>
          </w:r>
        </w:p>
        <w:p w14:paraId="0000001C">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rPr>
          </w:pPr>
          <w:r>
            <w:fldChar w:fldCharType="begin"/>
          </w:r>
          <w:r>
            <w:instrText xml:space="preserve"> HYPERLINK \l "_heading=h.glif89p8ipiy" \h </w:instrText>
          </w:r>
          <w:r>
            <w:fldChar w:fldCharType="separate"/>
          </w:r>
          <w:r>
            <w:rPr>
              <w:rFonts w:ascii="Calibri" w:hAnsi="Calibri" w:eastAsia="Calibri" w:cs="Calibri"/>
              <w:color w:val="000000"/>
              <w:sz w:val="21"/>
              <w:szCs w:val="21"/>
            </w:rPr>
            <w:t>Pirkimo sąlygų 7 priedas „Pasiūlymų vertinimo kriterijai ir sąlygos“</w:t>
          </w:r>
          <w:r>
            <w:rPr>
              <w:rFonts w:ascii="Calibri" w:hAnsi="Calibri" w:eastAsia="Calibri" w:cs="Calibri"/>
              <w:color w:val="000000"/>
              <w:sz w:val="21"/>
              <w:szCs w:val="21"/>
            </w:rPr>
            <w:tab/>
          </w:r>
          <w:r>
            <w:rPr>
              <w:rFonts w:ascii="Calibri" w:hAnsi="Calibri" w:eastAsia="Calibri" w:cs="Calibri"/>
              <w:color w:val="000000"/>
              <w:sz w:val="21"/>
              <w:szCs w:val="21"/>
            </w:rPr>
            <w:t>42</w:t>
          </w:r>
          <w:r>
            <w:rPr>
              <w:rFonts w:ascii="Calibri" w:hAnsi="Calibri" w:eastAsia="Calibri" w:cs="Calibri"/>
              <w:color w:val="000000"/>
              <w:sz w:val="21"/>
              <w:szCs w:val="21"/>
            </w:rPr>
            <w:fldChar w:fldCharType="end"/>
          </w:r>
        </w:p>
        <w:p w14:paraId="0000001D">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rPr>
          </w:pPr>
          <w:r>
            <w:fldChar w:fldCharType="begin"/>
          </w:r>
          <w:r>
            <w:instrText xml:space="preserve"> HYPERLINK \l "_heading=h.5tvzh6u4iggt" \h </w:instrText>
          </w:r>
          <w:r>
            <w:fldChar w:fldCharType="separate"/>
          </w:r>
          <w:r>
            <w:rPr>
              <w:rFonts w:ascii="Calibri" w:hAnsi="Calibri" w:eastAsia="Calibri" w:cs="Calibri"/>
              <w:color w:val="000000"/>
              <w:sz w:val="21"/>
              <w:szCs w:val="21"/>
            </w:rPr>
            <w:t>Pirkimo sąlygų 8 priedas „Tiekėjo deklaracija dėl atitikties Reglamento nuostatoms juridiniam asmeniui“</w:t>
          </w:r>
          <w:r>
            <w:rPr>
              <w:rFonts w:ascii="Calibri" w:hAnsi="Calibri" w:eastAsia="Calibri" w:cs="Calibri"/>
              <w:color w:val="000000"/>
              <w:sz w:val="21"/>
              <w:szCs w:val="21"/>
            </w:rPr>
            <w:tab/>
          </w:r>
          <w:r>
            <w:rPr>
              <w:rFonts w:ascii="Calibri" w:hAnsi="Calibri" w:eastAsia="Calibri" w:cs="Calibri"/>
              <w:color w:val="000000"/>
              <w:sz w:val="21"/>
              <w:szCs w:val="21"/>
            </w:rPr>
            <w:t>4</w:t>
          </w:r>
          <w:r>
            <w:rPr>
              <w:rFonts w:ascii="Calibri" w:hAnsi="Calibri" w:eastAsia="Calibri" w:cs="Calibri"/>
              <w:color w:val="000000"/>
              <w:sz w:val="21"/>
              <w:szCs w:val="21"/>
            </w:rPr>
            <w:fldChar w:fldCharType="end"/>
          </w:r>
          <w:r>
            <w:rPr>
              <w:rFonts w:ascii="Calibri" w:hAnsi="Calibri" w:eastAsia="Calibri" w:cs="Calibri"/>
              <w:color w:val="000000"/>
              <w:sz w:val="21"/>
              <w:szCs w:val="21"/>
            </w:rPr>
            <w:t>4</w:t>
          </w:r>
        </w:p>
        <w:p w14:paraId="0000001E">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rPr>
          </w:pPr>
          <w:r>
            <w:fldChar w:fldCharType="begin"/>
          </w:r>
          <w:r>
            <w:instrText xml:space="preserve"> HYPERLINK \l "_heading=h.hv24za82lja6" \h </w:instrText>
          </w:r>
          <w:r>
            <w:fldChar w:fldCharType="separate"/>
          </w:r>
          <w:r>
            <w:rPr>
              <w:rFonts w:ascii="Calibri" w:hAnsi="Calibri" w:eastAsia="Calibri" w:cs="Calibri"/>
              <w:color w:val="000000"/>
              <w:sz w:val="21"/>
              <w:szCs w:val="21"/>
            </w:rPr>
            <w:t>Pirkimo sąlygų 9 priedas „Tiekėjo deklaracija dėl atitikties Reglamento nuostatoms fiziniam asmeniui“</w:t>
          </w:r>
          <w:r>
            <w:rPr>
              <w:rFonts w:ascii="Calibri" w:hAnsi="Calibri" w:eastAsia="Calibri" w:cs="Calibri"/>
              <w:color w:val="000000"/>
              <w:sz w:val="21"/>
              <w:szCs w:val="21"/>
            </w:rPr>
            <w:tab/>
          </w:r>
          <w:r>
            <w:rPr>
              <w:rFonts w:ascii="Calibri" w:hAnsi="Calibri" w:eastAsia="Calibri" w:cs="Calibri"/>
              <w:color w:val="000000"/>
              <w:sz w:val="21"/>
              <w:szCs w:val="21"/>
            </w:rPr>
            <w:t>4</w:t>
          </w:r>
          <w:r>
            <w:rPr>
              <w:rFonts w:ascii="Calibri" w:hAnsi="Calibri" w:eastAsia="Calibri" w:cs="Calibri"/>
              <w:color w:val="000000"/>
              <w:sz w:val="21"/>
              <w:szCs w:val="21"/>
            </w:rPr>
            <w:fldChar w:fldCharType="end"/>
          </w:r>
          <w:r>
            <w:rPr>
              <w:rFonts w:ascii="Calibri" w:hAnsi="Calibri" w:eastAsia="Calibri" w:cs="Calibri"/>
              <w:color w:val="000000"/>
              <w:sz w:val="21"/>
              <w:szCs w:val="21"/>
            </w:rPr>
            <w:t>5</w:t>
          </w:r>
        </w:p>
        <w:p w14:paraId="0000001F">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rPr>
          </w:pPr>
          <w:r>
            <w:fldChar w:fldCharType="begin"/>
          </w:r>
          <w:r>
            <w:instrText xml:space="preserve"> HYPERLINK \l "_heading=h.3c5kn0ijcoob" \h </w:instrText>
          </w:r>
          <w:r>
            <w:fldChar w:fldCharType="separate"/>
          </w:r>
          <w:r>
            <w:rPr>
              <w:rFonts w:ascii="Calibri" w:hAnsi="Calibri" w:eastAsia="Calibri" w:cs="Calibri"/>
              <w:color w:val="000000"/>
              <w:sz w:val="21"/>
              <w:szCs w:val="21"/>
            </w:rPr>
            <w:t>Pirkimo sąlygų 10 priedas „Sutarties projektas“</w:t>
          </w:r>
          <w:r>
            <w:rPr>
              <w:rFonts w:ascii="Calibri" w:hAnsi="Calibri" w:eastAsia="Calibri" w:cs="Calibri"/>
              <w:color w:val="000000"/>
              <w:sz w:val="21"/>
              <w:szCs w:val="21"/>
            </w:rPr>
            <w:tab/>
          </w:r>
          <w:r>
            <w:rPr>
              <w:rFonts w:ascii="Calibri" w:hAnsi="Calibri" w:eastAsia="Calibri" w:cs="Calibri"/>
              <w:color w:val="000000"/>
              <w:sz w:val="21"/>
              <w:szCs w:val="21"/>
            </w:rPr>
            <w:t>4</w:t>
          </w:r>
          <w:r>
            <w:rPr>
              <w:rFonts w:ascii="Calibri" w:hAnsi="Calibri" w:eastAsia="Calibri" w:cs="Calibri"/>
              <w:color w:val="000000"/>
              <w:sz w:val="21"/>
              <w:szCs w:val="21"/>
            </w:rPr>
            <w:fldChar w:fldCharType="end"/>
          </w:r>
          <w:r>
            <w:rPr>
              <w:rFonts w:ascii="Calibri" w:hAnsi="Calibri" w:eastAsia="Calibri" w:cs="Calibri"/>
              <w:color w:val="000000"/>
              <w:sz w:val="21"/>
              <w:szCs w:val="21"/>
            </w:rPr>
            <w:t>6</w:t>
          </w:r>
        </w:p>
        <w:p w14:paraId="00000020">
          <w:pPr>
            <w:pBdr>
              <w:top w:val="none" w:color="000000" w:sz="0" w:space="0"/>
              <w:left w:val="none" w:color="000000" w:sz="0" w:space="0"/>
              <w:bottom w:val="none" w:color="000000" w:sz="0" w:space="0"/>
              <w:right w:val="none" w:color="000000" w:sz="0" w:space="0"/>
              <w:between w:val="none" w:color="000000" w:sz="0" w:space="0"/>
            </w:pBdr>
            <w:rPr>
              <w:rFonts w:ascii="Calibri" w:hAnsi="Calibri" w:eastAsia="Calibri" w:cs="Calibri"/>
              <w:color w:val="000000"/>
              <w:sz w:val="21"/>
              <w:szCs w:val="21"/>
            </w:rPr>
          </w:pPr>
          <w:r>
            <w:fldChar w:fldCharType="begin"/>
          </w:r>
          <w:r>
            <w:instrText xml:space="preserve"> HYPERLINK \l "_heading=h.lxzsx1nu8594" \h </w:instrText>
          </w:r>
          <w:r>
            <w:fldChar w:fldCharType="separate"/>
          </w:r>
          <w:r>
            <w:rPr>
              <w:rFonts w:ascii="Calibri" w:hAnsi="Calibri" w:eastAsia="Calibri" w:cs="Calibri"/>
              <w:color w:val="000000"/>
              <w:sz w:val="21"/>
              <w:szCs w:val="21"/>
            </w:rPr>
            <w:t xml:space="preserve">     Pirkimo sąlygų 11 priedas Sutikimas būti subtiekėju........................................................................................7</w:t>
          </w:r>
          <w:r>
            <w:rPr>
              <w:rFonts w:ascii="Calibri" w:hAnsi="Calibri" w:eastAsia="Calibri" w:cs="Calibri"/>
              <w:color w:val="000000"/>
              <w:sz w:val="21"/>
              <w:szCs w:val="21"/>
            </w:rPr>
            <w:fldChar w:fldCharType="end"/>
          </w:r>
          <w:r>
            <w:rPr>
              <w:rFonts w:ascii="Calibri" w:hAnsi="Calibri" w:eastAsia="Calibri" w:cs="Calibri"/>
              <w:color w:val="000000"/>
              <w:sz w:val="21"/>
              <w:szCs w:val="21"/>
            </w:rPr>
            <w:t>7</w:t>
          </w:r>
        </w:p>
        <w:p w14:paraId="00000021">
          <w:pPr>
            <w:pBdr>
              <w:top w:val="none" w:color="000000" w:sz="0" w:space="0"/>
              <w:left w:val="none" w:color="000000" w:sz="0" w:space="0"/>
              <w:bottom w:val="none" w:color="000000" w:sz="0" w:space="0"/>
              <w:right w:val="none" w:color="000000" w:sz="0" w:space="0"/>
              <w:between w:val="none" w:color="000000" w:sz="0" w:space="0"/>
            </w:pBdr>
            <w:tabs>
              <w:tab w:val="right" w:pos="9962"/>
            </w:tabs>
            <w:spacing w:line="276" w:lineRule="auto"/>
            <w:ind w:left="220"/>
            <w:jc w:val="both"/>
            <w:rPr>
              <w:rFonts w:ascii="Calibri" w:hAnsi="Calibri" w:eastAsia="Calibri" w:cs="Calibri"/>
              <w:color w:val="000000"/>
              <w:sz w:val="21"/>
              <w:szCs w:val="21"/>
            </w:rPr>
          </w:pPr>
        </w:p>
        <w:p w14:paraId="00000022">
          <w:pPr>
            <w:pBdr>
              <w:top w:val="none" w:color="000000" w:sz="0" w:space="0"/>
              <w:left w:val="none" w:color="000000" w:sz="0" w:space="0"/>
              <w:bottom w:val="none" w:color="000000" w:sz="0" w:space="0"/>
              <w:right w:val="none" w:color="000000" w:sz="0" w:space="0"/>
              <w:between w:val="none" w:color="000000" w:sz="0" w:space="0"/>
            </w:pBdr>
            <w:spacing w:after="120"/>
            <w:jc w:val="both"/>
            <w:rPr>
              <w:color w:val="000000"/>
              <w:sz w:val="21"/>
              <w:szCs w:val="21"/>
            </w:rPr>
          </w:pPr>
          <w:r>
            <w:fldChar w:fldCharType="end"/>
          </w:r>
        </w:p>
      </w:sdtContent>
    </w:sdt>
    <w:p w14:paraId="00000023">
      <w:pPr>
        <w:pBdr>
          <w:top w:val="none" w:color="000000" w:sz="0" w:space="0"/>
          <w:left w:val="none" w:color="000000" w:sz="0" w:space="0"/>
          <w:bottom w:val="none" w:color="000000" w:sz="0" w:space="0"/>
          <w:right w:val="none" w:color="000000" w:sz="0" w:space="0"/>
          <w:between w:val="none" w:color="000000" w:sz="0" w:space="0"/>
        </w:pBdr>
        <w:spacing w:after="120"/>
        <w:jc w:val="both"/>
        <w:rPr>
          <w:color w:val="000000"/>
        </w:rPr>
      </w:pPr>
      <w:r>
        <w:br w:type="page"/>
      </w:r>
    </w:p>
    <w:p w14:paraId="00000024">
      <w:pPr>
        <w:keepNext/>
        <w:keepLines/>
        <w:numPr>
          <w:ilvl w:val="0"/>
          <w:numId w:val="5"/>
        </w:numPr>
        <w:pBdr>
          <w:top w:val="none" w:color="000000" w:sz="0" w:space="0"/>
          <w:left w:val="none" w:color="000000" w:sz="0" w:space="0"/>
          <w:bottom w:val="none" w:color="000000" w:sz="0" w:space="0"/>
          <w:right w:val="none" w:color="000000" w:sz="0" w:space="0"/>
          <w:between w:val="none" w:color="000000" w:sz="0" w:space="0"/>
        </w:pBdr>
        <w:spacing w:before="360" w:after="80"/>
        <w:ind w:left="567" w:hanging="567"/>
        <w:rPr>
          <w:b/>
          <w:color w:val="000000"/>
        </w:rPr>
      </w:pPr>
      <w:bookmarkStart w:id="1" w:name="_heading=h.n3x7wamtcprb" w:colFirst="0" w:colLast="0"/>
      <w:bookmarkEnd w:id="1"/>
      <w:r>
        <w:rPr>
          <w:b/>
          <w:color w:val="000000"/>
        </w:rPr>
        <w:t>Bendra informacija</w:t>
      </w:r>
    </w:p>
    <w:p w14:paraId="00000025">
      <w:pPr>
        <w:numPr>
          <w:ilvl w:val="1"/>
          <w:numId w:val="5"/>
        </w:numPr>
        <w:pBdr>
          <w:top w:val="none" w:color="000000" w:sz="0" w:space="0"/>
          <w:left w:val="none" w:color="000000" w:sz="0" w:space="0"/>
          <w:bottom w:val="none" w:color="000000" w:sz="0" w:space="0"/>
          <w:right w:val="none" w:color="000000" w:sz="0" w:space="0"/>
          <w:between w:val="none" w:color="000000" w:sz="0" w:space="0"/>
        </w:pBdr>
        <w:jc w:val="both"/>
      </w:pPr>
      <w:r>
        <w:rPr>
          <w:color w:val="000000"/>
        </w:rPr>
        <w:t xml:space="preserve">Perkančioji organizacija – Savivaldybės įmonė Vilniaus rajono autobusų, kodas 302409486, (toliau- </w:t>
      </w:r>
      <w:r>
        <w:rPr>
          <w:i/>
          <w:color w:val="000000"/>
        </w:rPr>
        <w:t xml:space="preserve"> </w:t>
      </w:r>
      <w:r>
        <w:rPr>
          <w:color w:val="000000"/>
        </w:rPr>
        <w:t xml:space="preserve">Perkančioji organizacija) yra pridėtinės vertės mokesčio mokėtoja, PVM mok.kodas LT100005269313. el.p. pirkimai@vrap.lt  </w:t>
      </w:r>
    </w:p>
    <w:p w14:paraId="00000026">
      <w:pPr>
        <w:tabs>
          <w:tab w:val="left" w:pos="1134"/>
        </w:tabs>
        <w:ind w:left="2" w:hanging="2"/>
        <w:jc w:val="both"/>
        <w:rPr>
          <w:lang w:val="lt-LT"/>
        </w:rPr>
      </w:pPr>
      <w:r>
        <w:t xml:space="preserve">Bendravimas vyks elektroninėmis CVPIS priemonėmis. Objekto apžiūra nebus vykdoma. Perkančioji organizacija Savivaldybės įmonė „Vilniaus rajono autobusų parkas” ketina įsigyti 6 vnt. naudotus dyzelinu varomus autobusus. Viešasis pirkimas skaidomas. Pirkimą sudaro dvi dalys po 3 </w:t>
      </w:r>
      <w:r>
        <w:rPr>
          <w:lang w:val="en-US"/>
        </w:rPr>
        <w:t>vnt. naudotų autobusų.</w:t>
      </w:r>
    </w:p>
    <w:p w14:paraId="00000028">
      <w:pPr>
        <w:numPr>
          <w:ilvl w:val="1"/>
          <w:numId w:val="5"/>
        </w:numPr>
        <w:pBdr>
          <w:top w:val="none" w:color="000000" w:sz="0" w:space="0"/>
          <w:left w:val="none" w:color="000000" w:sz="0" w:space="0"/>
          <w:bottom w:val="none" w:color="000000" w:sz="0" w:space="0"/>
          <w:right w:val="none" w:color="000000" w:sz="0" w:space="0"/>
          <w:between w:val="none" w:color="000000" w:sz="0" w:space="0"/>
        </w:pBdr>
        <w:tabs>
          <w:tab w:val="left" w:pos="851"/>
        </w:tabs>
        <w:ind w:left="0" w:firstLine="426"/>
        <w:jc w:val="both"/>
      </w:pPr>
      <w:r>
        <w:rPr>
          <w:color w:val="000000"/>
        </w:rPr>
        <w:t xml:space="preserve">Pirkimas neatliekamas naudojantis centralizuotų pirkimų katalogu, kadangi tokių </w:t>
      </w:r>
      <w:r>
        <w:rPr>
          <w:rFonts w:hint="default"/>
          <w:color w:val="000000"/>
          <w:lang w:val="en-US"/>
        </w:rPr>
        <w:t>naudotų dyzelinu</w:t>
      </w:r>
      <w:r>
        <w:rPr>
          <w:color w:val="000000"/>
        </w:rPr>
        <w:t xml:space="preserve"> varomų autobusų specifikacijų Centrinės perkančiosios organizacijos prekių kataloge nėra.</w:t>
      </w:r>
    </w:p>
    <w:p w14:paraId="00000029">
      <w:pPr>
        <w:pBdr>
          <w:top w:val="none" w:color="000000" w:sz="0" w:space="0"/>
          <w:left w:val="none" w:color="000000" w:sz="0" w:space="0"/>
          <w:bottom w:val="none" w:color="000000" w:sz="0" w:space="0"/>
          <w:right w:val="none" w:color="000000" w:sz="0" w:space="0"/>
          <w:between w:val="none" w:color="000000" w:sz="0" w:space="0"/>
        </w:pBdr>
        <w:ind w:firstLine="567"/>
        <w:rPr>
          <w:color w:val="000000"/>
        </w:rPr>
      </w:pPr>
      <w:r>
        <w:rPr>
          <w:color w:val="000000"/>
        </w:rPr>
        <w:t>1.3. Perkančioji organizacija nerezervuoja teisės dalyvauti pirkime.</w:t>
      </w:r>
    </w:p>
    <w:p w14:paraId="0000002A">
      <w:pPr>
        <w:numPr>
          <w:ilvl w:val="1"/>
          <w:numId w:val="6"/>
        </w:numPr>
        <w:pBdr>
          <w:top w:val="none" w:color="000000" w:sz="0" w:space="0"/>
          <w:left w:val="none" w:color="000000" w:sz="0" w:space="0"/>
          <w:bottom w:val="none" w:color="000000" w:sz="0" w:space="0"/>
          <w:right w:val="none" w:color="000000" w:sz="0" w:space="0"/>
          <w:between w:val="none" w:color="000000" w:sz="0" w:space="0"/>
        </w:pBdr>
        <w:jc w:val="both"/>
      </w:pPr>
      <w:r>
        <w:rPr>
          <w:color w:val="000000"/>
        </w:rPr>
        <w:t xml:space="preserve"> Stebėtojai dalyvauti Komisijos posėdžiuose nėra kviečiami.</w:t>
      </w:r>
    </w:p>
    <w:p w14:paraId="0000002B">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1.5. Atliekamas žaliasis pirkimas. Vykdomas žaliasis pirkimas ir taikomi aplinkos apsaugos kriterijai, t. y. perkami autobusai privalai yrrs su išmetimo dujų emisijos lygiu ne mažiau EURO6. </w:t>
      </w:r>
    </w:p>
    <w:p w14:paraId="0000002C">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1.6. Išankstinis skelbimas apie pirkimą nebuvo paskelbtas. Rinkos konsultacija yra įvykdyta.</w:t>
      </w:r>
    </w:p>
    <w:p w14:paraId="0000002D">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1.7. Pirkime Perkančioji organizacija nenumato skelbti pranešimo dėl savanoriško </w:t>
      </w:r>
      <w:r>
        <w:rPr>
          <w:i/>
          <w:color w:val="000000"/>
        </w:rPr>
        <w:t>ex ante</w:t>
      </w:r>
      <w:r>
        <w:rPr>
          <w:color w:val="000000"/>
        </w:rPr>
        <w:t xml:space="preserve"> skaidrumo.</w:t>
      </w:r>
    </w:p>
    <w:p w14:paraId="0000002E">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 xml:space="preserve">1.8. Pirkime neleidžiama pateikti alternatyvių pasiūlymų. </w:t>
      </w:r>
    </w:p>
    <w:p w14:paraId="0000002F">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1.9. Be</w:t>
      </w:r>
      <w:r>
        <w:rPr>
          <w:color w:val="333333"/>
          <w:lang w:val="fi-FI"/>
        </w:rPr>
        <w:t>ndrosios pirkimo sąlygos yra neatskiriama šių pirkimo sąlygų dalis.</w:t>
      </w:r>
    </w:p>
    <w:p w14:paraId="00000030">
      <w:pPr>
        <w:keepNext/>
        <w:keepLines/>
        <w:numPr>
          <w:ilvl w:val="0"/>
          <w:numId w:val="6"/>
        </w:numPr>
        <w:pBdr>
          <w:top w:val="none" w:color="000000" w:sz="0" w:space="0"/>
          <w:left w:val="none" w:color="000000" w:sz="0" w:space="0"/>
          <w:bottom w:val="none" w:color="000000" w:sz="0" w:space="0"/>
          <w:right w:val="none" w:color="000000" w:sz="0" w:space="0"/>
          <w:between w:val="none" w:color="000000" w:sz="0" w:space="0"/>
        </w:pBdr>
        <w:spacing w:before="360" w:after="80"/>
        <w:rPr>
          <w:b/>
          <w:color w:val="000000"/>
        </w:rPr>
      </w:pPr>
      <w:bookmarkStart w:id="2" w:name="_heading=h.rn8ym4kzjhmi" w:colFirst="0" w:colLast="0"/>
      <w:bookmarkEnd w:id="2"/>
      <w:r>
        <w:rPr>
          <w:b/>
          <w:color w:val="000000"/>
        </w:rPr>
        <w:t>Pirkimo objektas</w:t>
      </w:r>
    </w:p>
    <w:p w14:paraId="00000031">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2.1. Perkančioji organizacija vykdo </w:t>
      </w:r>
      <w:r>
        <w:rPr>
          <w:rFonts w:hint="default"/>
          <w:color w:val="000000"/>
          <w:lang w:val="en-US"/>
        </w:rPr>
        <w:t xml:space="preserve">2 </w:t>
      </w:r>
      <w:r>
        <w:rPr>
          <w:color w:val="000000"/>
        </w:rPr>
        <w:t>dviejų dalių</w:t>
      </w:r>
      <w:r>
        <w:rPr>
          <w:rFonts w:hint="default"/>
          <w:color w:val="000000"/>
          <w:lang w:val="en-US"/>
        </w:rPr>
        <w:t xml:space="preserve"> pirkimą. Viena dalis 3 vienetai priemiestinio</w:t>
      </w:r>
      <w:r>
        <w:rPr>
          <w:color w:val="000000"/>
        </w:rPr>
        <w:t xml:space="preserve"> tipo </w:t>
      </w:r>
      <w:r>
        <w:rPr>
          <w:rFonts w:hint="default"/>
          <w:color w:val="000000"/>
          <w:lang w:val="en-US"/>
        </w:rPr>
        <w:t xml:space="preserve">dyzelinu varomų </w:t>
      </w:r>
      <w:r>
        <w:rPr>
          <w:color w:val="000000"/>
        </w:rPr>
        <w:t xml:space="preserve">autobusų (transporto priemonių) viešojo pirkimo procedūrą. Techninė specifikacija 2 konkurso </w:t>
      </w:r>
      <w:r>
        <w:t>dokumentų</w:t>
      </w:r>
      <w:r>
        <w:rPr>
          <w:color w:val="000000"/>
        </w:rPr>
        <w:t xml:space="preserve"> priede.</w:t>
      </w:r>
    </w:p>
    <w:p w14:paraId="00000032">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2.2.</w:t>
      </w:r>
      <w:r>
        <w:rPr>
          <w:color w:val="000000"/>
        </w:rPr>
        <w:tab/>
      </w:r>
      <w:r>
        <w:rPr>
          <w:color w:val="000000"/>
        </w:rPr>
        <w:t xml:space="preserve">Pirkimas neatliekamas naudojantis Centralizuotų viešųjų pirkimų elektroniniu katalogu (toliau – katalogas), nes kataloge tokių naudotų dyzelinu varomų autobusų nėra. </w:t>
      </w:r>
    </w:p>
    <w:p w14:paraId="00000033">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Reikalavimai pirkimo objektui nustatyti specialiųjų pirkimo sąlygų 2 priede „Techninė specifikacija“ .</w:t>
      </w:r>
    </w:p>
    <w:p w14:paraId="00000034">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2.3 Pirkimo objektas skaidomas į 2 dalis. Pirkimo objektas 6 vnt. autobusų neskaidomas į 6 dalis, kadangi po vieną autobusą skaidymas šiuo atveju konkurencijos nepadidintų</w:t>
      </w:r>
      <w:r>
        <w:t>, ir</w:t>
      </w:r>
      <w:r>
        <w:rPr>
          <w:color w:val="000000"/>
        </w:rPr>
        <w:t xml:space="preserve"> toks skaidymas būtų dirbtinis, o susidariusios papildomos išlaidos būtų įskaitytos į galutinę autobuso kainą. Tiekėjai, turintys galimybę siūlyti iš karto du naudotus dyzelinu varomus autobusus, siūlys ekonomine prasme vidutiniškai mažesnę kainą. Perkančioji organizacija racionaliau panaudos pirkimui skirta lėšas.</w:t>
      </w:r>
    </w:p>
    <w:p w14:paraId="00000036">
      <w:pPr>
        <w:pBdr>
          <w:top w:val="none" w:color="000000" w:sz="0" w:space="0"/>
          <w:left w:val="none" w:color="000000" w:sz="0" w:space="0"/>
          <w:bottom w:val="none" w:color="000000" w:sz="0" w:space="0"/>
          <w:right w:val="none" w:color="000000" w:sz="0" w:space="0"/>
          <w:between w:val="none" w:color="000000" w:sz="0" w:space="0"/>
        </w:pBdr>
        <w:ind w:firstLine="1296"/>
        <w:jc w:val="both"/>
        <w:rPr>
          <w:color w:val="000000"/>
        </w:rPr>
      </w:pPr>
      <w:bookmarkStart w:id="3" w:name="_heading=h.3opznxhglkhv" w:colFirst="0" w:colLast="0"/>
      <w:bookmarkEnd w:id="3"/>
      <w:r>
        <w:rPr>
          <w:color w:val="000000"/>
        </w:rPr>
        <w:t>2.4. Pirkimo objekto techninėje specifikacijoje ar kitose pirkimo dokumentuose nurodyti konkretūs modeliai ar tiekimo šaltinis, konkretus procesas, būdingas konkretaus tiekėjo tiekiamoms prekėms, ar prekių ženklas, tipas, konkreti kilmė ar gamyba, medžiagos turi būti suprantami su nuoroda ir žodžiais „arba lygiavertis‘ ir laikoma, kad gali būti pateikta lygiavertė. Nurodyti sertifikatai, standartai turi būti suprantami su žodžiais „arba lygiavertis“ ir suprantami, kad Prekės kilmės šalies išduodamas dokumentas patvirtinantis atitikimą keliamiems reikalavimas, todėl turi būti laikoma, kad kiekviena tokia nuoroda yra pateikta su žodžiais „arba lygiavertis“. Viešųjų pirkimų techninėje specifikacijoje minimas terminas „lygiavertis standartas (sertifikatas)“ reiškia sertifikatą, kuris yra išduotas įstaigų, įsteigtų kitose ES valstybėse, kurias yra sertifikavusi Europos Bendrijos teisės aktų nustatytus reikalavimus atitinkanti sertifikavimo įstaiga.</w:t>
      </w:r>
    </w:p>
    <w:p w14:paraId="00000037">
      <w:pPr>
        <w:pBdr>
          <w:top w:val="none" w:color="000000" w:sz="0" w:space="0"/>
          <w:left w:val="none" w:color="000000" w:sz="0" w:space="0"/>
          <w:bottom w:val="none" w:color="000000" w:sz="0" w:space="0"/>
          <w:right w:val="none" w:color="000000" w:sz="0" w:space="0"/>
          <w:between w:val="none" w:color="000000" w:sz="0" w:space="0"/>
        </w:pBdr>
        <w:ind w:firstLine="1296"/>
        <w:jc w:val="both"/>
        <w:rPr>
          <w:color w:val="000000"/>
        </w:rPr>
      </w:pPr>
      <w:r>
        <w:rPr>
          <w:color w:val="000000"/>
        </w:rPr>
        <w:t xml:space="preserve">2.5. Jeigu apibūdinant pirkimo objektą techninėje specifikacijoje nurodytas standartas, techninis liudijimas ar bendrosios techninės specifikacijos (turi būti laikomasi tokios pirmumo tvarkos: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00000038">
      <w:pPr>
        <w:pBdr>
          <w:top w:val="none" w:color="000000" w:sz="0" w:space="0"/>
          <w:left w:val="none" w:color="000000" w:sz="0" w:space="0"/>
          <w:bottom w:val="none" w:color="000000" w:sz="0" w:space="0"/>
          <w:right w:val="none" w:color="000000" w:sz="0" w:space="0"/>
          <w:between w:val="none" w:color="000000" w:sz="0" w:space="0"/>
        </w:pBdr>
        <w:ind w:firstLine="1296"/>
        <w:jc w:val="both"/>
        <w:rPr>
          <w:color w:val="000000"/>
        </w:rPr>
      </w:pPr>
      <w:r>
        <w:rPr>
          <w:color w:val="000000"/>
        </w:rPr>
        <w:t xml:space="preserve">2.6. Perkančioji organizacija nustato, kad pirkimo daliai skirta iš anksto pirkimo dokumentais numatyta suma be PVM. Gavusi pasiūlymus </w:t>
      </w:r>
      <w:r>
        <w:rPr>
          <w:rFonts w:hint="default"/>
          <w:color w:val="000000"/>
          <w:lang w:val="en-US"/>
        </w:rPr>
        <w:t xml:space="preserve">1 daliai </w:t>
      </w:r>
      <w:r>
        <w:rPr>
          <w:color w:val="000000"/>
        </w:rPr>
        <w:t xml:space="preserve">su didesnėmis kainomis negu pirkimo skirtas biudžetas, kuris yra </w:t>
      </w:r>
      <w:r>
        <w:rPr>
          <w:b/>
          <w:bCs/>
        </w:rPr>
        <w:t>2</w:t>
      </w:r>
      <w:r>
        <w:rPr>
          <w:rFonts w:hint="default"/>
          <w:b/>
          <w:bCs/>
          <w:lang w:val="en-US"/>
        </w:rPr>
        <w:t>00</w:t>
      </w:r>
      <w:r>
        <w:rPr>
          <w:b/>
          <w:bCs/>
          <w:color w:val="000000"/>
        </w:rPr>
        <w:t>000,00 Eu</w:t>
      </w:r>
      <w:r>
        <w:rPr>
          <w:color w:val="000000"/>
        </w:rPr>
        <w:t>r be PVM privalės juos atmesti vadovaujantis Viešųjų pirkimų įstatymo 45 straipsniu 1 dalies 5 punktu. Vienai daliai skirtas biudžetas – 200</w:t>
      </w:r>
      <w:r>
        <w:rPr>
          <w:rFonts w:hint="default"/>
          <w:color w:val="000000"/>
          <w:lang w:val="en-US"/>
        </w:rPr>
        <w:t>0</w:t>
      </w:r>
      <w:r>
        <w:rPr>
          <w:color w:val="000000"/>
        </w:rPr>
        <w:t xml:space="preserve">00 Eur be PVM. </w:t>
      </w:r>
    </w:p>
    <w:p w14:paraId="00000039">
      <w:pPr>
        <w:keepNext/>
        <w:keepLines/>
        <w:pBdr>
          <w:top w:val="none" w:color="000000" w:sz="0" w:space="0"/>
          <w:left w:val="none" w:color="000000" w:sz="0" w:space="0"/>
          <w:bottom w:val="none" w:color="000000" w:sz="0" w:space="0"/>
          <w:right w:val="none" w:color="000000" w:sz="0" w:space="0"/>
          <w:between w:val="none" w:color="000000" w:sz="0" w:space="0"/>
        </w:pBdr>
        <w:spacing w:before="360" w:after="80"/>
        <w:rPr>
          <w:b/>
          <w:color w:val="000000"/>
        </w:rPr>
      </w:pPr>
      <w:bookmarkStart w:id="4" w:name="_heading=h.8pfz24apd8nx" w:colFirst="0" w:colLast="0"/>
      <w:bookmarkEnd w:id="4"/>
      <w:r>
        <w:rPr>
          <w:b/>
          <w:color w:val="000000"/>
        </w:rPr>
        <w:t>3. Susitikimai su tiekėjais ir objekto apžiūra</w:t>
      </w:r>
    </w:p>
    <w:p w14:paraId="0000003A">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3.1.</w:t>
      </w:r>
      <w:r>
        <w:rPr>
          <w:i/>
          <w:color w:val="FF0000"/>
        </w:rPr>
        <w:t xml:space="preserve"> </w:t>
      </w:r>
      <w:r>
        <w:rPr>
          <w:color w:val="000000"/>
        </w:rPr>
        <w:t>Perkančioji organizacija nerengs susitikimo su tiekėjais dėl pirkimo sąlygų paaiškinimo.</w:t>
      </w:r>
    </w:p>
    <w:p w14:paraId="0000003B">
      <w:pPr>
        <w:pBdr>
          <w:top w:val="none" w:color="000000" w:sz="0" w:space="0"/>
          <w:left w:val="none" w:color="000000" w:sz="0" w:space="0"/>
          <w:bottom w:val="none" w:color="000000" w:sz="0" w:space="0"/>
          <w:right w:val="none" w:color="000000" w:sz="0" w:space="0"/>
          <w:between w:val="none" w:color="000000" w:sz="0" w:space="0"/>
        </w:pBdr>
        <w:ind w:left="567"/>
        <w:jc w:val="both"/>
        <w:rPr>
          <w:color w:val="000000"/>
        </w:rPr>
      </w:pPr>
      <w:r>
        <w:rPr>
          <w:color w:val="000000"/>
        </w:rPr>
        <w:t>3.2. Perkančioji organizacija nerengs objekto apžiūros.</w:t>
      </w:r>
    </w:p>
    <w:p w14:paraId="0000003C">
      <w:pPr>
        <w:keepNext/>
        <w:keepLines/>
        <w:pBdr>
          <w:top w:val="none" w:color="000000" w:sz="0" w:space="0"/>
          <w:left w:val="none" w:color="000000" w:sz="0" w:space="0"/>
          <w:bottom w:val="none" w:color="000000" w:sz="0" w:space="0"/>
          <w:right w:val="none" w:color="000000" w:sz="0" w:space="0"/>
          <w:between w:val="none" w:color="000000" w:sz="0" w:space="0"/>
        </w:pBdr>
        <w:spacing w:before="360" w:after="80"/>
        <w:rPr>
          <w:b/>
          <w:color w:val="000000"/>
        </w:rPr>
      </w:pPr>
      <w:bookmarkStart w:id="5" w:name="_heading=h.2ewt5dikv0gx" w:colFirst="0" w:colLast="0"/>
      <w:bookmarkEnd w:id="5"/>
      <w:r>
        <w:rPr>
          <w:b/>
          <w:color w:val="000000"/>
        </w:rPr>
        <w:t>4. Tiekėjų pašalinimo pagrindai ir kvalifikacijos reikalavimai</w:t>
      </w:r>
    </w:p>
    <w:p w14:paraId="0000003D">
      <w:pPr>
        <w:pBdr>
          <w:top w:val="none" w:color="000000" w:sz="0" w:space="0"/>
          <w:left w:val="none" w:color="000000" w:sz="0" w:space="0"/>
          <w:bottom w:val="none" w:color="000000" w:sz="0" w:space="0"/>
          <w:right w:val="none" w:color="000000" w:sz="0" w:space="0"/>
          <w:between w:val="none" w:color="000000" w:sz="0" w:space="0"/>
        </w:pBdr>
        <w:spacing w:after="120"/>
        <w:ind w:firstLine="567"/>
        <w:jc w:val="both"/>
        <w:rPr>
          <w:color w:val="000000"/>
        </w:rPr>
      </w:pPr>
      <w:bookmarkStart w:id="6" w:name="_heading=h.t1wx1fyw5owy" w:colFirst="0" w:colLast="0"/>
      <w:bookmarkEnd w:id="6"/>
      <w:r>
        <w:rPr>
          <w:color w:val="000000"/>
        </w:rPr>
        <w:t xml:space="preserve">4.1. Reikalavimai dėl tiekėjo ir subtiekėjų (jei taikoma), ūkio subjektų, kurių pajėgumais tiekėjas remiasi, pašalinimo pagrindų nebuvimo bei jų nebuvimą patvirtinantys dokumentai nurodyti specialiųjų pirkimo sąlygų 3 ir 4 prieduose. </w:t>
      </w:r>
    </w:p>
    <w:p w14:paraId="0000003E">
      <w:pPr>
        <w:keepNext/>
        <w:keepLines/>
        <w:pBdr>
          <w:top w:val="none" w:color="000000" w:sz="0" w:space="0"/>
          <w:left w:val="none" w:color="000000" w:sz="0" w:space="0"/>
          <w:bottom w:val="none" w:color="000000" w:sz="0" w:space="0"/>
          <w:right w:val="none" w:color="000000" w:sz="0" w:space="0"/>
          <w:between w:val="none" w:color="000000" w:sz="0" w:space="0"/>
        </w:pBdr>
        <w:tabs>
          <w:tab w:val="left" w:pos="567"/>
        </w:tabs>
        <w:spacing w:before="360"/>
        <w:jc w:val="both"/>
        <w:rPr>
          <w:b/>
          <w:color w:val="000000"/>
        </w:rPr>
      </w:pPr>
      <w:bookmarkStart w:id="7" w:name="_heading=h.hrfpsnfyclw7" w:colFirst="0" w:colLast="0"/>
      <w:bookmarkEnd w:id="7"/>
      <w:r>
        <w:rPr>
          <w:b/>
          <w:color w:val="000000"/>
        </w:rPr>
        <w:t xml:space="preserve">5. Reikalavimai, susiję su nacionaliniu saugumu </w:t>
      </w:r>
    </w:p>
    <w:p w14:paraId="0000003F">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5.1. Taikomas Europos Sąjungos Tarybos 2022 m. balandžio 8 d. priimtas Tarybos Reglamentas (ES) 2022/576, kuriuo iš dalies keičiamas Reglamentas (ES) Nr. 833/2014 dėl ribojamųjų priemonių atsižvelgiant į Rusijos veiksmus, kuriais destabilizuojama padėtis Ukrainoje (toliau – Reglamentas).</w:t>
      </w:r>
    </w:p>
    <w:p w14:paraId="00000040">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Reglamentu numatoma, kad draudžiama skirti ar toliau vykdyti visas viešąsias sutartis su:</w:t>
      </w:r>
    </w:p>
    <w:p w14:paraId="00000041">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a) Rusijos piliečiu, fiziniu ar juridiniu asmeniu, subjektu ar organizacija, įsisteigusiais Rusijoje;</w:t>
      </w:r>
    </w:p>
    <w:p w14:paraId="00000042">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b) juridiniu asmeniu, subjektu ar organizacija, kuriuose 50 % ar daugiau nuosavybės teisių tiesiogiai ar netiesiogiai priklauso šios dalies a punkte nurodytam subjektui, arba</w:t>
      </w:r>
    </w:p>
    <w:p w14:paraId="00000043">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c) fiziniu ar juridiniu asmeniu, subjektu ar organizacija, veikiančiais a arba b punkte nurodyto subjekto vardu ar jo nurodymu, be kita ko, tais atvejais, kai jiems tenka daugiau kaip 10 % sutarties vertės, su subrangovais, tiekėjais ar subjektais, kurių pajėgumais remiamasi.</w:t>
      </w:r>
    </w:p>
    <w:p w14:paraId="00000044">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Lietuvos Respublikos finansų ministerija pateikė rekomendacijas įgyvendinančiosioms ir administruojančiosioms institucijoms dėl prevencijos priemonių nustatymo siekiant užtikrinti, kad projektuose nedalyvautų asmenys, kuriems taikomi ribojimai nustatyti Lietuvos Respublikos tarptautinių sankcijų įstatyme. Atitinkamai tiekėjai ir subtiekėjai (išskyrus kvazisubtiekėjus) turės patvirtinti deklaracijoje. Tiekėjas ir subtiekėjai (išskyrus kvazisubtiekėjus) atskirai turi deklaruoti ne tik pagal Reglamento tiekėjas ir subtiekėjai (išskyrus kvazisubtiekėjus) turi deklaruoti atskirai.</w:t>
      </w:r>
    </w:p>
    <w:p w14:paraId="00000045">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 xml:space="preserve">Pirkimui taikomos Tarybos reglamento </w:t>
      </w:r>
      <w:r>
        <w:rPr>
          <w:color w:val="333333"/>
          <w:highlight w:val="white"/>
          <w:lang w:val="fi-FI"/>
        </w:rPr>
        <w:t xml:space="preserve">(ES) 2022/576 2022 m. balandžio 8 d. kuriuo iš dalies keičiamas Reglamentas (ES) Nr. 833/2014 </w:t>
      </w:r>
      <w:r>
        <w:rPr>
          <w:color w:val="000000"/>
          <w:lang w:val="fi-FI"/>
        </w:rPr>
        <w:t>Reglamento nuostatos. Kartu su pasiūlymu tiekėjas turi pateikti užpildytą deklaraciją dėl (ne)atitikties Reglamento nuostatoms, kuri pateikta specialiųjų pirkimo sąlygų 8 ir 9 prieduose. Kilus abejonių dėl tiekėjo (ne)atitikties Reglamento nuostatoms, Perkančioji organizacija gali pirkimo vykdymo metu iš potencialaus laimėtojo (esant poreikiui, ir iš kitų tiekėjų) prašyti pateikti VPĮ 51 straipsnio 12 d. nurodytus duomenis, tiek, kiek (ir tada, kai) tai reikalinga pirkimo vykdytojui siekiant tinkamai įgyvendinti Reglamentu nustatytus draudimus, o kilus abejonių pirkimo galėtų kreiptis dėl konkrečių dokumentų pateikimo iš potencialaus laimėtojo.</w:t>
      </w:r>
    </w:p>
    <w:p w14:paraId="00000046">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5.2. Perkančioji organizacija nustačiusi, kad tiekėjo pasitelktas subtiekėjas ar ūkio subjektas, kurio pajėgumais remiamasi, tenkina Reglamento 5 k straipsnyje nustatytus ribojimus, gali prašyti tiekėjo juos pakeisti kitais, pirkimo sąlygų reikalavimus atitinkančiais, subjektais. Perkančioji organizacija gali pirkimo vykdymo metu iš potencialaus laimėtojo (esant poreikiui, ir iš kitų tiekėjų) prašyti pateikti VPĮ 51 straipsnio 12 dalyje nurodytus duomenis, tiek, kiek (ir tada, kai) tai reikalinga pirkimo vykdytojui siekiant tinkamai įgyvendinti Reglamentu nustatytus draudimus.</w:t>
      </w:r>
    </w:p>
    <w:p w14:paraId="00000047">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lang w:val="fi-FI"/>
        </w:rPr>
      </w:pPr>
      <w:r>
        <w:rPr>
          <w:color w:val="000000"/>
          <w:lang w:val="fi-FI"/>
        </w:rPr>
        <w:t>5.3. Perkančioji organizacija netaikys nuostatų, susijusių su nacionaliniu saugumu kaip nurodyta VPĮ 45 straipsnio 2</w:t>
      </w:r>
      <w:r>
        <w:rPr>
          <w:color w:val="000000"/>
          <w:vertAlign w:val="superscript"/>
          <w:lang w:val="fi-FI"/>
        </w:rPr>
        <w:t>1</w:t>
      </w:r>
      <w:r>
        <w:rPr>
          <w:color w:val="000000"/>
          <w:lang w:val="fi-FI"/>
        </w:rPr>
        <w:t xml:space="preserve"> dalyje, VPĮ 37 straipsnio 9 dalyje ir VPĮ 47 straipsnio 9 dalyje.</w:t>
      </w:r>
    </w:p>
    <w:p w14:paraId="00000048">
      <w:pPr>
        <w:keepNext/>
        <w:keepLines/>
        <w:pBdr>
          <w:top w:val="none" w:color="000000" w:sz="0" w:space="0"/>
          <w:left w:val="none" w:color="000000" w:sz="0" w:space="0"/>
          <w:bottom w:val="none" w:color="000000" w:sz="0" w:space="0"/>
          <w:right w:val="none" w:color="000000" w:sz="0" w:space="0"/>
          <w:between w:val="none" w:color="000000" w:sz="0" w:space="0"/>
        </w:pBdr>
        <w:spacing w:before="360" w:after="80"/>
        <w:rPr>
          <w:b/>
          <w:color w:val="000000"/>
          <w:lang w:val="fi-FI"/>
        </w:rPr>
      </w:pPr>
      <w:bookmarkStart w:id="8" w:name="_heading=h.sn1r317kitxx" w:colFirst="0" w:colLast="0"/>
      <w:bookmarkEnd w:id="8"/>
      <w:r>
        <w:rPr>
          <w:b/>
          <w:color w:val="000000"/>
          <w:lang w:val="fi-FI"/>
        </w:rPr>
        <w:t>6. Specialieji reikalavimai pasiūlymų rengimui ir pateikimui</w:t>
      </w:r>
    </w:p>
    <w:p w14:paraId="00000049">
      <w:pPr>
        <w:pBdr>
          <w:top w:val="none" w:color="000000" w:sz="0" w:space="0"/>
          <w:left w:val="none" w:color="000000" w:sz="0" w:space="0"/>
          <w:bottom w:val="none" w:color="000000" w:sz="0" w:space="0"/>
          <w:right w:val="none" w:color="000000" w:sz="0" w:space="0"/>
          <w:between w:val="none" w:color="000000" w:sz="0" w:space="0"/>
        </w:pBdr>
        <w:ind w:firstLine="709"/>
        <w:jc w:val="both"/>
        <w:rPr>
          <w:color w:val="000000"/>
          <w:lang w:val="fi-FI"/>
        </w:rPr>
      </w:pPr>
      <w:r>
        <w:rPr>
          <w:color w:val="000000"/>
          <w:lang w:val="fi-FI"/>
        </w:rPr>
        <w:t>6.1. Tiekėjo pasiūlymą sudaro CVP IS pateikiamų ir žemiau nurodytų dokumentų visuma:</w:t>
      </w:r>
    </w:p>
    <w:p w14:paraId="0000004A">
      <w:pPr>
        <w:numPr>
          <w:ilvl w:val="2"/>
          <w:numId w:val="7"/>
        </w:numPr>
        <w:pBdr>
          <w:top w:val="none" w:color="000000" w:sz="0" w:space="0"/>
          <w:left w:val="none" w:color="000000" w:sz="0" w:space="0"/>
          <w:bottom w:val="none" w:color="000000" w:sz="0" w:space="0"/>
          <w:right w:val="none" w:color="000000" w:sz="0" w:space="0"/>
          <w:between w:val="none" w:color="000000" w:sz="0" w:space="0"/>
        </w:pBdr>
        <w:ind w:left="0" w:firstLine="709"/>
        <w:jc w:val="both"/>
        <w:rPr>
          <w:lang w:val="fi-FI"/>
        </w:rPr>
      </w:pPr>
      <w:r>
        <w:rPr>
          <w:color w:val="000000"/>
          <w:lang w:val="fi-FI"/>
        </w:rPr>
        <w:t>tiekėjo pasirašytas pasiūlymas, parengtas pagal specialiųjų pirkimo sąlygų 6</w:t>
      </w:r>
      <w:r>
        <w:rPr>
          <w:color w:val="000000"/>
          <w:highlight w:val="white"/>
          <w:lang w:val="fi-FI"/>
        </w:rPr>
        <w:t xml:space="preserve"> </w:t>
      </w:r>
      <w:r>
        <w:rPr>
          <w:color w:val="000000"/>
          <w:lang w:val="fi-FI"/>
        </w:rPr>
        <w:t xml:space="preserve">priede pateiktą pasiūlymo formą ir užpildytą 2 priedą, nurodydamas konkrečios siūlomos prekės parametrus. </w:t>
      </w:r>
    </w:p>
    <w:p w14:paraId="0000004B">
      <w:pPr>
        <w:numPr>
          <w:ilvl w:val="2"/>
          <w:numId w:val="7"/>
        </w:numPr>
        <w:pBdr>
          <w:top w:val="none" w:color="000000" w:sz="0" w:space="0"/>
          <w:left w:val="none" w:color="000000" w:sz="0" w:space="0"/>
          <w:bottom w:val="none" w:color="000000" w:sz="0" w:space="0"/>
          <w:right w:val="none" w:color="000000" w:sz="0" w:space="0"/>
          <w:between w:val="none" w:color="000000" w:sz="0" w:space="0"/>
        </w:pBdr>
        <w:ind w:left="0" w:firstLine="709"/>
        <w:jc w:val="both"/>
        <w:rPr>
          <w:lang w:val="fi-FI"/>
        </w:rPr>
      </w:pPr>
      <w:r>
        <w:rPr>
          <w:color w:val="000000"/>
          <w:lang w:val="fi-FI"/>
        </w:rPr>
        <w:t>užpildytas EBVPD (specialiųjų pirkimo sąlygų 5 priedas). Pasirašydamas pasiūlymą, tiekėjas patvirtina ir EBVPD tikrumą;</w:t>
      </w:r>
    </w:p>
    <w:p w14:paraId="0000004C">
      <w:pPr>
        <w:numPr>
          <w:ilvl w:val="2"/>
          <w:numId w:val="7"/>
        </w:numPr>
        <w:pBdr>
          <w:top w:val="none" w:color="000000" w:sz="0" w:space="0"/>
          <w:left w:val="none" w:color="000000" w:sz="0" w:space="0"/>
          <w:bottom w:val="none" w:color="000000" w:sz="0" w:space="0"/>
          <w:right w:val="none" w:color="000000" w:sz="0" w:space="0"/>
          <w:between w:val="none" w:color="000000" w:sz="0" w:space="0"/>
        </w:pBdr>
        <w:ind w:left="0" w:firstLine="709"/>
        <w:jc w:val="both"/>
        <w:rPr>
          <w:lang w:val="fi-FI"/>
        </w:rPr>
      </w:pPr>
      <w:r>
        <w:rPr>
          <w:color w:val="000000"/>
          <w:lang w:val="fi-FI"/>
        </w:rPr>
        <w:t>jungtinės veiklos sutarties kopija (jeigu pirkime dalyvauja ūkio subjektų grupė jungtinės veiklos sutarties pagrindu);</w:t>
      </w:r>
    </w:p>
    <w:p w14:paraId="0000004D">
      <w:pPr>
        <w:numPr>
          <w:ilvl w:val="2"/>
          <w:numId w:val="7"/>
        </w:numPr>
        <w:pBdr>
          <w:top w:val="none" w:color="000000" w:sz="0" w:space="0"/>
          <w:left w:val="none" w:color="000000" w:sz="0" w:space="0"/>
          <w:bottom w:val="none" w:color="000000" w:sz="0" w:space="0"/>
          <w:right w:val="none" w:color="000000" w:sz="0" w:space="0"/>
          <w:between w:val="none" w:color="000000" w:sz="0" w:space="0"/>
        </w:pBdr>
        <w:ind w:left="0" w:firstLine="709"/>
        <w:jc w:val="both"/>
        <w:rPr>
          <w:lang w:val="fi-FI"/>
        </w:rPr>
      </w:pPr>
      <w:r>
        <w:rPr>
          <w:color w:val="000000"/>
          <w:lang w:val="fi-FI"/>
        </w:rPr>
        <w:t>dokumentas, patvirtinantis, kad asmuo, kuris pasirašė pasiūlymą (jei jis ne tiekėjo vadovas), turėjo teisę jį pasirašyti;</w:t>
      </w:r>
    </w:p>
    <w:p w14:paraId="0000004E">
      <w:pPr>
        <w:numPr>
          <w:ilvl w:val="2"/>
          <w:numId w:val="7"/>
        </w:numPr>
        <w:pBdr>
          <w:top w:val="none" w:color="000000" w:sz="0" w:space="0"/>
          <w:left w:val="none" w:color="000000" w:sz="0" w:space="0"/>
          <w:bottom w:val="none" w:color="000000" w:sz="0" w:space="0"/>
          <w:right w:val="none" w:color="000000" w:sz="0" w:space="0"/>
          <w:between w:val="none" w:color="000000" w:sz="0" w:space="0"/>
        </w:pBdr>
        <w:ind w:left="0" w:firstLine="709"/>
        <w:jc w:val="both"/>
        <w:rPr>
          <w:lang w:val="fi-FI"/>
        </w:rPr>
      </w:pPr>
      <w:r>
        <w:rPr>
          <w:color w:val="000000"/>
          <w:lang w:val="fi-FI"/>
        </w:rPr>
        <w:t>jei tiekėjas pasitelkia ūkio subjektus, kurių pajėgumais remiasi, – įrodymai, kad šie ištekliai bus prieinami per visą sutartinių įsipareigojimų vykdymo laikotarpį;</w:t>
      </w:r>
    </w:p>
    <w:p w14:paraId="0000004F">
      <w:pPr>
        <w:numPr>
          <w:ilvl w:val="2"/>
          <w:numId w:val="7"/>
        </w:numPr>
        <w:pBdr>
          <w:top w:val="none" w:color="000000" w:sz="0" w:space="0"/>
          <w:left w:val="none" w:color="000000" w:sz="0" w:space="0"/>
          <w:bottom w:val="none" w:color="000000" w:sz="0" w:space="0"/>
          <w:right w:val="none" w:color="000000" w:sz="0" w:space="0"/>
          <w:between w:val="none" w:color="000000" w:sz="0" w:space="0"/>
        </w:pBdr>
        <w:ind w:left="0" w:firstLine="709"/>
        <w:jc w:val="both"/>
        <w:rPr>
          <w:lang w:val="fi-FI"/>
        </w:rPr>
      </w:pPr>
      <w:r>
        <w:rPr>
          <w:color w:val="000000"/>
          <w:lang w:val="fi-FI"/>
        </w:rPr>
        <w:t xml:space="preserve"> jei tiekėjas pasitelkia subtiekėjus, subtiekėjo deklaracija ar kitas dokumentas, patvirtinantis jo sutikimą būti subtiekėju pirkime;</w:t>
      </w:r>
    </w:p>
    <w:p w14:paraId="00000050">
      <w:pPr>
        <w:numPr>
          <w:ilvl w:val="2"/>
          <w:numId w:val="7"/>
        </w:numPr>
        <w:pBdr>
          <w:top w:val="none" w:color="000000" w:sz="0" w:space="0"/>
          <w:left w:val="none" w:color="000000" w:sz="0" w:space="0"/>
          <w:bottom w:val="none" w:color="000000" w:sz="0" w:space="0"/>
          <w:right w:val="none" w:color="000000" w:sz="0" w:space="0"/>
          <w:between w:val="none" w:color="000000" w:sz="0" w:space="0"/>
        </w:pBdr>
        <w:ind w:left="0" w:firstLine="709"/>
        <w:jc w:val="both"/>
        <w:rPr>
          <w:lang w:val="fi-FI"/>
        </w:rPr>
      </w:pPr>
      <w:r>
        <w:rPr>
          <w:color w:val="000000"/>
          <w:lang w:val="fi-FI"/>
        </w:rPr>
        <w:t>Tiekėjo deklaracija dėl atitikties Reglamento nuostatoms (parengtą pagal specialiųjų pirkimo sąlygų 8 ir 9 prieduose pateiktas formas);</w:t>
      </w:r>
    </w:p>
    <w:p w14:paraId="00000051">
      <w:pPr>
        <w:numPr>
          <w:ilvl w:val="2"/>
          <w:numId w:val="7"/>
        </w:numPr>
        <w:pBdr>
          <w:top w:val="none" w:color="000000" w:sz="0" w:space="0"/>
          <w:left w:val="none" w:color="000000" w:sz="0" w:space="0"/>
          <w:bottom w:val="none" w:color="000000" w:sz="0" w:space="0"/>
          <w:right w:val="none" w:color="000000" w:sz="0" w:space="0"/>
          <w:between w:val="none" w:color="000000" w:sz="0" w:space="0"/>
        </w:pBdr>
        <w:ind w:left="0" w:firstLine="709"/>
        <w:jc w:val="both"/>
        <w:rPr>
          <w:lang w:val="fi-FI"/>
        </w:rPr>
      </w:pPr>
      <w:r>
        <w:rPr>
          <w:color w:val="000000"/>
          <w:lang w:val="fi-FI"/>
        </w:rPr>
        <w:t>Techninėje specifikacijoje (Specialiųjų pirkimo sąlygų 2 priedas) nurodyti dokumentai, patvirtinantys atitikimą techninės specifikacijos reikalavimams informacija ir (ar) dokumentai;</w:t>
      </w:r>
    </w:p>
    <w:p w14:paraId="00000052">
      <w:pPr>
        <w:numPr>
          <w:ilvl w:val="2"/>
          <w:numId w:val="7"/>
        </w:numPr>
        <w:pBdr>
          <w:top w:val="none" w:color="000000" w:sz="0" w:space="0"/>
          <w:left w:val="none" w:color="000000" w:sz="0" w:space="0"/>
          <w:bottom w:val="none" w:color="000000" w:sz="0" w:space="0"/>
          <w:right w:val="none" w:color="000000" w:sz="0" w:space="0"/>
          <w:between w:val="none" w:color="000000" w:sz="0" w:space="0"/>
        </w:pBdr>
        <w:ind w:left="0" w:firstLine="709"/>
        <w:jc w:val="both"/>
        <w:rPr>
          <w:lang w:val="fi-FI"/>
        </w:rPr>
      </w:pPr>
      <w:r>
        <w:rPr>
          <w:color w:val="000000"/>
          <w:lang w:val="fi-FI"/>
        </w:rPr>
        <w:t>kita, teikėjo manymu, reikalinga ir svarbi informacija ir (ar) dokumentai, kurie  susiję su pirkimu.</w:t>
      </w:r>
    </w:p>
    <w:p w14:paraId="00000053">
      <w:pPr>
        <w:pBdr>
          <w:top w:val="none" w:color="000000" w:sz="0" w:space="0"/>
          <w:left w:val="none" w:color="000000" w:sz="0" w:space="0"/>
          <w:bottom w:val="none" w:color="000000" w:sz="0" w:space="0"/>
          <w:right w:val="none" w:color="000000" w:sz="0" w:space="0"/>
          <w:between w:val="none" w:color="000000" w:sz="0" w:space="0"/>
        </w:pBdr>
        <w:ind w:firstLine="709"/>
        <w:jc w:val="both"/>
        <w:rPr>
          <w:color w:val="000000"/>
          <w:lang w:val="fi-FI"/>
        </w:rPr>
      </w:pPr>
      <w:r>
        <w:rPr>
          <w:color w:val="000000"/>
          <w:lang w:val="fi-FI"/>
        </w:rPr>
        <w:t>6.2. 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00000054">
      <w:pPr>
        <w:pBdr>
          <w:top w:val="none" w:color="000000" w:sz="0" w:space="0"/>
          <w:left w:val="none" w:color="000000" w:sz="0" w:space="0"/>
          <w:bottom w:val="none" w:color="000000" w:sz="0" w:space="0"/>
          <w:right w:val="none" w:color="000000" w:sz="0" w:space="0"/>
          <w:between w:val="none" w:color="000000" w:sz="0" w:space="0"/>
        </w:pBdr>
        <w:ind w:firstLine="851"/>
        <w:jc w:val="both"/>
        <w:rPr>
          <w:color w:val="000000"/>
          <w:lang w:val="fi-FI"/>
        </w:rPr>
      </w:pPr>
      <w:r>
        <w:rPr>
          <w:color w:val="000000"/>
          <w:lang w:val="fi-FI"/>
        </w:rPr>
        <w:t>6.2.1 pateikiami kvalifikuotu elektroniniu parašu pasirašyti elektroninėmis priemonėmis suformuoti dokumentai;</w:t>
      </w:r>
    </w:p>
    <w:p w14:paraId="00000055">
      <w:pPr>
        <w:numPr>
          <w:ilvl w:val="2"/>
          <w:numId w:val="8"/>
        </w:numPr>
        <w:pBdr>
          <w:top w:val="none" w:color="000000" w:sz="0" w:space="0"/>
          <w:left w:val="none" w:color="000000" w:sz="0" w:space="0"/>
          <w:bottom w:val="none" w:color="000000" w:sz="0" w:space="0"/>
          <w:right w:val="none" w:color="000000" w:sz="0" w:space="0"/>
          <w:between w:val="none" w:color="000000" w:sz="0" w:space="0"/>
        </w:pBdr>
        <w:tabs>
          <w:tab w:val="left" w:pos="1418"/>
        </w:tabs>
        <w:ind w:left="0" w:firstLine="851"/>
        <w:jc w:val="both"/>
        <w:rPr>
          <w:lang w:val="fi-FI"/>
        </w:rPr>
      </w:pPr>
      <w:r>
        <w:rPr>
          <w:color w:val="000000"/>
          <w:lang w:val="fi-FI"/>
        </w:rPr>
        <w:t>skaitmeninės dokumentų kopijos (fiziniu parašu tvirtinami dokumentai turi būti pateikiami pasirašyti ir nuskenuoti).</w:t>
      </w:r>
    </w:p>
    <w:p w14:paraId="00000056">
      <w:pPr>
        <w:pBdr>
          <w:top w:val="none" w:color="000000" w:sz="0" w:space="0"/>
          <w:left w:val="none" w:color="000000" w:sz="0" w:space="0"/>
          <w:bottom w:val="none" w:color="000000" w:sz="0" w:space="0"/>
          <w:right w:val="none" w:color="000000" w:sz="0" w:space="0"/>
          <w:between w:val="none" w:color="000000" w:sz="0" w:space="0"/>
        </w:pBdr>
        <w:ind w:firstLine="709"/>
        <w:jc w:val="both"/>
        <w:rPr>
          <w:color w:val="000000"/>
          <w:lang w:val="fi-FI"/>
        </w:rPr>
      </w:pPr>
      <w:r>
        <w:rPr>
          <w:color w:val="000000"/>
          <w:lang w:val="fi-FI"/>
        </w:rPr>
        <w:t>6.3. Pasiūlymas pagal formą turi būti parengtas lietuvių kalba</w:t>
      </w:r>
      <w:r>
        <w:rPr>
          <w:color w:val="7030A0"/>
          <w:lang w:val="fi-FI"/>
        </w:rPr>
        <w:t xml:space="preserve">. </w:t>
      </w:r>
      <w:r>
        <w:rPr>
          <w:color w:val="000000"/>
          <w:lang w:val="fi-FI"/>
        </w:rPr>
        <w:t xml:space="preserve">Jei kurie nors su pasiūlymu teikiami dokumentai parengti ne lietuvių ar anglų kalba, kurios reikalaujama, turi būti pateiktas tikslus vertimas į reikalaujamą kalbą. 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Prašomą vertimą galima pateikti ir su tiekėjo vadovo parašu patvirtintą vertimą. Dokumentai pasiūlymo vertinimui (gamintojo aprašymas, gamintojo informaciniai pranešimai, sertifikatai, deklaracijos, patvirtinantys atitikimą galimi pateikti ir kita kalba (ne lietuvių). </w:t>
      </w:r>
    </w:p>
    <w:p w14:paraId="00000057">
      <w:pPr>
        <w:pBdr>
          <w:top w:val="none" w:color="000000" w:sz="0" w:space="0"/>
          <w:left w:val="none" w:color="000000" w:sz="0" w:space="0"/>
          <w:bottom w:val="none" w:color="000000" w:sz="0" w:space="0"/>
          <w:right w:val="none" w:color="000000" w:sz="0" w:space="0"/>
          <w:between w:val="none" w:color="000000" w:sz="0" w:space="0"/>
        </w:pBdr>
        <w:ind w:firstLine="709"/>
        <w:jc w:val="both"/>
        <w:rPr>
          <w:color w:val="000000"/>
          <w:lang w:val="fi-FI"/>
        </w:rPr>
      </w:pPr>
      <w:r>
        <w:rPr>
          <w:color w:val="000000"/>
          <w:lang w:val="fi-FI"/>
        </w:rPr>
        <w:t xml:space="preserve">6.4. Bendra pasiūlymo kaina su PVM turi būti nurodoma dviejų skaičių po kablelio tikslumu. Šią kainą sudarančios kainos sudedamosios dalys ar įkainiai gali būti išreikštos neribojant skaičių po kablelio kiekio. </w:t>
      </w:r>
    </w:p>
    <w:p w14:paraId="00000058">
      <w:pPr>
        <w:pBdr>
          <w:top w:val="none" w:color="000000" w:sz="0" w:space="0"/>
          <w:left w:val="none" w:color="000000" w:sz="0" w:space="0"/>
          <w:bottom w:val="none" w:color="000000" w:sz="0" w:space="0"/>
          <w:right w:val="none" w:color="000000" w:sz="0" w:space="0"/>
          <w:between w:val="none" w:color="000000" w:sz="0" w:space="0"/>
        </w:pBdr>
        <w:ind w:firstLine="504"/>
        <w:jc w:val="both"/>
        <w:rPr>
          <w:color w:val="000000"/>
          <w:lang w:val="fi-FI"/>
        </w:rPr>
      </w:pPr>
      <w:r>
        <w:rPr>
          <w:color w:val="000000"/>
          <w:lang w:val="fi-FI"/>
        </w:rPr>
        <w:t xml:space="preserve">6.5. Tiekėjų pasiūlymuose nurodytos kainos bus vertinamos ir lyginamos su visais mokesčiais, įskaitant PVM. </w:t>
      </w:r>
    </w:p>
    <w:p w14:paraId="00000059">
      <w:pPr>
        <w:keepNext/>
        <w:keepLines/>
        <w:numPr>
          <w:ilvl w:val="0"/>
          <w:numId w:val="8"/>
        </w:numPr>
        <w:pBdr>
          <w:top w:val="none" w:color="000000" w:sz="0" w:space="0"/>
          <w:left w:val="none" w:color="000000" w:sz="0" w:space="0"/>
          <w:bottom w:val="none" w:color="000000" w:sz="0" w:space="0"/>
          <w:right w:val="none" w:color="000000" w:sz="0" w:space="0"/>
          <w:between w:val="none" w:color="000000" w:sz="0" w:space="0"/>
        </w:pBdr>
        <w:tabs>
          <w:tab w:val="left" w:pos="-3323"/>
        </w:tabs>
        <w:spacing w:before="360" w:after="80"/>
        <w:rPr>
          <w:b/>
          <w:color w:val="000000"/>
        </w:rPr>
      </w:pPr>
      <w:bookmarkStart w:id="9" w:name="_heading=h.e2cks45t3zpq" w:colFirst="0" w:colLast="0"/>
      <w:bookmarkEnd w:id="9"/>
      <w:r>
        <w:rPr>
          <w:b/>
          <w:color w:val="000000"/>
        </w:rPr>
        <w:t>Pasiūlymo galiojimo užtikrinimas</w:t>
      </w:r>
    </w:p>
    <w:p w14:paraId="0000005A">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7.1. Perkančioji organizacija reikalauja užtikrinti pasiūlymo galiojimą </w:t>
      </w:r>
      <w:r>
        <w:rPr>
          <w:rFonts w:hint="default"/>
          <w:color w:val="000000"/>
          <w:lang w:val="en-US"/>
        </w:rPr>
        <w:t>1</w:t>
      </w:r>
      <w:r>
        <w:rPr>
          <w:color w:val="000000"/>
        </w:rPr>
        <w:t xml:space="preserve">000,00 Eur (du tūkstančiai)  pasiūlymo galiojimo užtikrinimo priemone, tai gali būti banko ar kredito įstaigos garantija, laidavimo draudimas, gali būti pervesta į Perkančiosios organizacijos sąskaitą </w:t>
      </w:r>
      <w:r>
        <w:rPr>
          <w:color w:val="000000"/>
          <w:highlight w:val="white"/>
        </w:rPr>
        <w:t xml:space="preserve">Nr. </w:t>
      </w:r>
      <w:r>
        <w:rPr>
          <w:highlight w:val="white"/>
        </w:rPr>
        <w:t>LT657300010194513374.</w:t>
      </w:r>
      <w:r>
        <w:rPr>
          <w:color w:val="000000"/>
          <w:highlight w:val="white"/>
        </w:rPr>
        <w:t xml:space="preserve"> </w:t>
      </w:r>
      <w:r>
        <w:rPr>
          <w:color w:val="000000"/>
        </w:rPr>
        <w:t>Pervedus pasiūlymo užtikrinimą į nurodytą sąskaitą nelaimėjimo atveju per 5 darbo dienas nuo skelbimo apie eilės sudarymą dienos pasiūlymo užtikrinimas bus grąžintas į sąskaitą, iš kurios buvo gautas pasiūlymo užtikrinimas.</w:t>
      </w:r>
    </w:p>
    <w:p w14:paraId="0000005B">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Atkreipiame dėmesį, kad:</w:t>
      </w:r>
    </w:p>
    <w:p w14:paraId="0000005C">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1) kartu su laidavimo draudimo dokumentu turi būti pateiktas draudimo įmokos apmokėjimą patvirtinantis dokumentus;</w:t>
      </w:r>
    </w:p>
    <w:p w14:paraId="0000005D">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2) numačius galimybę pateikti užstatą, prašome užtikrinti, kad užstatą tiekėjas pervestų laiku. Primename, kad perkančioji organizacija turi užtikrina, kad pasiūlymo užtikrinimo suma bus grąžinta tik pirkimo dokumentuose numatytomis sąlygomis. </w:t>
      </w:r>
    </w:p>
    <w:p w14:paraId="0000005E">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7.2. Perkančioji organizacija pasilieka teisę kreiptis į teismą dėl žalos, atsiradusios dėl to, kad pasiūlymo galiojimo laikotarpiu tiekėjas pakeičia ar atšaukia savo pasiūlymą ar pirkimo laimėtojas atsisako sudaryti sutartį, atlyginimo.</w:t>
      </w:r>
    </w:p>
    <w:p w14:paraId="0000005F">
      <w:pPr>
        <w:keepNext/>
        <w:keepLines/>
        <w:numPr>
          <w:ilvl w:val="0"/>
          <w:numId w:val="8"/>
        </w:numPr>
        <w:pBdr>
          <w:top w:val="none" w:color="000000" w:sz="0" w:space="0"/>
          <w:left w:val="none" w:color="000000" w:sz="0" w:space="0"/>
          <w:bottom w:val="none" w:color="000000" w:sz="0" w:space="0"/>
          <w:right w:val="none" w:color="000000" w:sz="0" w:space="0"/>
          <w:between w:val="none" w:color="000000" w:sz="0" w:space="0"/>
        </w:pBdr>
        <w:tabs>
          <w:tab w:val="left" w:pos="-3323"/>
        </w:tabs>
        <w:spacing w:before="360" w:after="80"/>
        <w:rPr>
          <w:b/>
          <w:color w:val="000000"/>
        </w:rPr>
      </w:pPr>
      <w:bookmarkStart w:id="10" w:name="_heading=h.at168wwi27x9" w:colFirst="0" w:colLast="0"/>
      <w:bookmarkEnd w:id="10"/>
      <w:r>
        <w:rPr>
          <w:b/>
          <w:color w:val="000000"/>
        </w:rPr>
        <w:t>Elektroninis aukcionas</w:t>
      </w:r>
    </w:p>
    <w:p w14:paraId="00000060">
      <w:pPr>
        <w:pBdr>
          <w:top w:val="none" w:color="000000" w:sz="0" w:space="0"/>
          <w:left w:val="none" w:color="000000" w:sz="0" w:space="0"/>
          <w:bottom w:val="none" w:color="000000" w:sz="0" w:space="0"/>
          <w:right w:val="none" w:color="000000" w:sz="0" w:space="0"/>
          <w:between w:val="none" w:color="000000" w:sz="0" w:space="0"/>
        </w:pBdr>
        <w:ind w:left="710"/>
        <w:rPr>
          <w:color w:val="000000"/>
        </w:rPr>
      </w:pPr>
      <w:r>
        <w:rPr>
          <w:color w:val="000000"/>
        </w:rPr>
        <w:t>8.1. Perkančioji organizacija pirkime netaikys elektroninio aukciono.</w:t>
      </w:r>
    </w:p>
    <w:p w14:paraId="00000061">
      <w:pPr>
        <w:keepNext/>
        <w:keepLines/>
        <w:numPr>
          <w:ilvl w:val="0"/>
          <w:numId w:val="8"/>
        </w:numPr>
        <w:pBdr>
          <w:top w:val="none" w:color="000000" w:sz="0" w:space="0"/>
          <w:left w:val="none" w:color="000000" w:sz="0" w:space="0"/>
          <w:bottom w:val="none" w:color="000000" w:sz="0" w:space="0"/>
          <w:right w:val="none" w:color="000000" w:sz="0" w:space="0"/>
          <w:between w:val="none" w:color="000000" w:sz="0" w:space="0"/>
        </w:pBdr>
        <w:tabs>
          <w:tab w:val="left" w:pos="-3323"/>
        </w:tabs>
        <w:spacing w:before="360" w:after="80"/>
        <w:rPr>
          <w:b/>
          <w:color w:val="000000"/>
        </w:rPr>
      </w:pPr>
      <w:bookmarkStart w:id="11" w:name="_heading=h.a51ye48zij2" w:colFirst="0" w:colLast="0"/>
      <w:bookmarkEnd w:id="11"/>
      <w:r>
        <w:rPr>
          <w:b/>
          <w:color w:val="000000"/>
        </w:rPr>
        <w:t>Pasiūlymų vertinimas</w:t>
      </w:r>
    </w:p>
    <w:p w14:paraId="00000062">
      <w:pPr>
        <w:pBdr>
          <w:top w:val="none" w:color="000000" w:sz="0" w:space="0"/>
          <w:left w:val="none" w:color="000000" w:sz="0" w:space="0"/>
          <w:bottom w:val="none" w:color="000000" w:sz="0" w:space="0"/>
          <w:right w:val="none" w:color="000000" w:sz="0" w:space="0"/>
          <w:between w:val="none" w:color="000000" w:sz="0" w:space="0"/>
        </w:pBdr>
        <w:ind w:firstLine="504"/>
        <w:jc w:val="both"/>
        <w:rPr>
          <w:color w:val="000000"/>
        </w:rPr>
      </w:pPr>
      <w:bookmarkStart w:id="12" w:name="_heading=h.uxmntf38dg98" w:colFirst="0" w:colLast="0"/>
      <w:bookmarkEnd w:id="12"/>
      <w:r>
        <w:rPr>
          <w:color w:val="000000"/>
        </w:rPr>
        <w:t>9.1. Perkančioji organizacija ekonomiškai naudingiausią pasiūlymą išrenka pagal ekonomiškai naudingiausio pasiūlymo kriterijus kainos ir kokybės santykį. Pasiūlymai pildomi kaip to reikalaujama specialiųjų pirkimo sąlygų 6 priede.</w:t>
      </w:r>
      <w:r>
        <w:rPr>
          <w:color w:val="7030A0"/>
        </w:rPr>
        <w:t xml:space="preserve"> </w:t>
      </w:r>
    </w:p>
    <w:p w14:paraId="00000063">
      <w:pPr>
        <w:pBdr>
          <w:top w:val="none" w:color="000000" w:sz="0" w:space="0"/>
          <w:left w:val="none" w:color="000000" w:sz="0" w:space="0"/>
          <w:bottom w:val="none" w:color="000000" w:sz="0" w:space="0"/>
          <w:right w:val="none" w:color="000000" w:sz="0" w:space="0"/>
          <w:between w:val="none" w:color="000000" w:sz="0" w:space="0"/>
        </w:pBdr>
        <w:ind w:firstLine="504"/>
        <w:jc w:val="both"/>
        <w:rPr>
          <w:color w:val="000000"/>
        </w:rPr>
      </w:pPr>
      <w:r>
        <w:rPr>
          <w:color w:val="000000"/>
        </w:rPr>
        <w:t xml:space="preserve">9.2. Laimėjusiu pasiūlymu galės būti pripažintas tik 1 (vienas) ekonomiškai naudingiausias pasiūlymas, esantis pasiūlymų eilės pirmojoje vietoje. </w:t>
      </w:r>
    </w:p>
    <w:p w14:paraId="00000064">
      <w:pPr>
        <w:keepNext/>
        <w:keepLines/>
        <w:numPr>
          <w:ilvl w:val="0"/>
          <w:numId w:val="8"/>
        </w:numPr>
        <w:pBdr>
          <w:top w:val="none" w:color="000000" w:sz="0" w:space="0"/>
          <w:left w:val="none" w:color="000000" w:sz="0" w:space="0"/>
          <w:bottom w:val="none" w:color="000000" w:sz="0" w:space="0"/>
          <w:right w:val="none" w:color="000000" w:sz="0" w:space="0"/>
          <w:between w:val="none" w:color="000000" w:sz="0" w:space="0"/>
        </w:pBdr>
        <w:tabs>
          <w:tab w:val="left" w:pos="-3465"/>
        </w:tabs>
        <w:spacing w:before="360" w:after="80"/>
        <w:rPr>
          <w:b/>
          <w:color w:val="000000"/>
        </w:rPr>
      </w:pPr>
      <w:bookmarkStart w:id="13" w:name="_heading=h.nmzeu5sqdw1z" w:colFirst="0" w:colLast="0"/>
      <w:bookmarkEnd w:id="13"/>
      <w:r>
        <w:rPr>
          <w:b/>
          <w:color w:val="000000"/>
        </w:rPr>
        <w:t>Sutarties sudarymas</w:t>
      </w:r>
    </w:p>
    <w:p w14:paraId="00000065">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sectPr>
          <w:pgSz w:w="11906" w:h="16838"/>
          <w:pgMar w:top="1134" w:right="567" w:bottom="1134" w:left="1843" w:header="720" w:footer="720" w:gutter="0"/>
          <w:cols w:space="720" w:num="1"/>
          <w:titlePg/>
        </w:sectPr>
      </w:pPr>
      <w:r>
        <w:rPr>
          <w:color w:val="000000"/>
        </w:rPr>
        <w:t>10.1. Ši pirkimo procedūra atliekama siekiant sudaryti sutartį su tiekėju, kurio pasiūlymas, vadovaujantis pirkimo sąlygose</w:t>
      </w:r>
      <w:r>
        <w:rPr>
          <w:color w:val="0070C0"/>
        </w:rPr>
        <w:t xml:space="preserve"> </w:t>
      </w:r>
      <w:r>
        <w:rPr>
          <w:color w:val="000000"/>
        </w:rPr>
        <w:t>nustatyta tvarka, bus pripažintas laimėjęs. Sutarties sąlygos pateikiamos Pirkimo sąlygų 10 priede „Sutarties projektas“.</w:t>
      </w:r>
    </w:p>
    <w:p w14:paraId="00000066">
      <w:pPr>
        <w:keepNext/>
        <w:keepLines/>
        <w:pBdr>
          <w:top w:val="none" w:color="000000" w:sz="0" w:space="0"/>
          <w:left w:val="none" w:color="000000" w:sz="0" w:space="0"/>
          <w:bottom w:val="none" w:color="000000" w:sz="0" w:space="0"/>
          <w:right w:val="none" w:color="000000" w:sz="0" w:space="0"/>
          <w:between w:val="none" w:color="000000" w:sz="0" w:space="0"/>
        </w:pBdr>
        <w:spacing w:before="360" w:after="80"/>
        <w:jc w:val="right"/>
        <w:rPr>
          <w:color w:val="000000"/>
        </w:rPr>
      </w:pPr>
      <w:bookmarkStart w:id="14" w:name="_heading=h.t06k2rcspa8y" w:colFirst="0" w:colLast="0"/>
      <w:bookmarkEnd w:id="14"/>
      <w:r>
        <w:rPr>
          <w:color w:val="000000"/>
        </w:rPr>
        <w:t>Pirkimo sąlygų 1 priedas „Terminai“</w:t>
      </w:r>
    </w:p>
    <w:tbl>
      <w:tblPr>
        <w:tblStyle w:val="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747"/>
        <w:gridCol w:w="2415"/>
        <w:gridCol w:w="3372"/>
        <w:gridCol w:w="2738"/>
      </w:tblGrid>
      <w:tr w14:paraId="4DBE8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shd w:val="clear" w:color="auto" w:fill="D9D9D9"/>
            <w:tcMar>
              <w:top w:w="0" w:type="dxa"/>
              <w:left w:w="108" w:type="dxa"/>
              <w:bottom w:w="0" w:type="dxa"/>
              <w:right w:w="108" w:type="dxa"/>
            </w:tcMar>
          </w:tcPr>
          <w:p w14:paraId="186FA1A2">
            <w:pPr>
              <w:spacing w:after="160" w:line="276" w:lineRule="auto"/>
              <w:jc w:val="center"/>
              <w:rPr>
                <w:rFonts w:ascii="Calibri" w:hAnsi="Calibri" w:cs="Calibri"/>
                <w:b/>
                <w:bCs/>
                <w:sz w:val="21"/>
                <w:szCs w:val="21"/>
                <w:lang w:val="lt-LT" w:eastAsia="lt-LT"/>
              </w:rPr>
            </w:pPr>
            <w:r>
              <w:rPr>
                <w:rFonts w:ascii="Calibri" w:hAnsi="Calibri" w:cs="Calibri"/>
                <w:b/>
                <w:bCs/>
                <w:sz w:val="21"/>
                <w:szCs w:val="21"/>
                <w:lang w:val="lt-LT" w:eastAsia="lt-LT"/>
              </w:rPr>
              <w:t>Eil.Nr.</w:t>
            </w:r>
          </w:p>
        </w:tc>
        <w:tc>
          <w:tcPr>
            <w:tcW w:w="2531" w:type="dxa"/>
            <w:shd w:val="clear" w:color="auto" w:fill="D9D9D9"/>
            <w:tcMar>
              <w:top w:w="0" w:type="dxa"/>
              <w:left w:w="108" w:type="dxa"/>
              <w:bottom w:w="0" w:type="dxa"/>
              <w:right w:w="108" w:type="dxa"/>
            </w:tcMar>
          </w:tcPr>
          <w:p w14:paraId="0D989514">
            <w:pPr>
              <w:spacing w:after="160" w:line="276" w:lineRule="auto"/>
              <w:jc w:val="center"/>
              <w:rPr>
                <w:rFonts w:ascii="Calibri" w:hAnsi="Calibri" w:cs="Calibri"/>
                <w:b/>
                <w:bCs/>
                <w:sz w:val="21"/>
                <w:szCs w:val="21"/>
                <w:lang w:val="lt-LT" w:eastAsia="lt-LT"/>
              </w:rPr>
            </w:pPr>
            <w:r>
              <w:rPr>
                <w:rFonts w:ascii="Calibri" w:hAnsi="Calibri" w:cs="Calibri"/>
                <w:b/>
                <w:bCs/>
                <w:sz w:val="21"/>
                <w:szCs w:val="21"/>
                <w:lang w:val="lt-LT" w:eastAsia="lt-LT"/>
              </w:rPr>
              <w:t>VEIKSMAS</w:t>
            </w:r>
          </w:p>
        </w:tc>
        <w:tc>
          <w:tcPr>
            <w:tcW w:w="3643" w:type="dxa"/>
            <w:shd w:val="clear" w:color="auto" w:fill="D9D9D9"/>
            <w:tcMar>
              <w:top w:w="0" w:type="dxa"/>
              <w:left w:w="108" w:type="dxa"/>
              <w:bottom w:w="0" w:type="dxa"/>
              <w:right w:w="108" w:type="dxa"/>
            </w:tcMar>
          </w:tcPr>
          <w:p w14:paraId="319BCFD9">
            <w:pPr>
              <w:spacing w:line="276" w:lineRule="auto"/>
              <w:jc w:val="center"/>
              <w:rPr>
                <w:rFonts w:ascii="Calibri" w:hAnsi="Calibri" w:cs="Calibri"/>
                <w:b/>
                <w:sz w:val="21"/>
                <w:szCs w:val="21"/>
                <w:lang w:val="lt-LT" w:eastAsia="lt-LT"/>
              </w:rPr>
            </w:pPr>
            <w:r>
              <w:rPr>
                <w:rFonts w:ascii="Calibri" w:hAnsi="Calibri" w:cs="Calibri"/>
                <w:b/>
                <w:sz w:val="21"/>
                <w:szCs w:val="21"/>
                <w:lang w:val="lt-LT" w:eastAsia="lt-LT"/>
              </w:rPr>
              <w:t>DATA/DIENŲ SKAIČIUS/ LAIKAS</w:t>
            </w:r>
          </w:p>
          <w:p w14:paraId="4181786C">
            <w:pPr>
              <w:spacing w:line="276" w:lineRule="auto"/>
              <w:jc w:val="center"/>
              <w:rPr>
                <w:rFonts w:ascii="Calibri" w:hAnsi="Calibri" w:cs="Calibri"/>
                <w:sz w:val="21"/>
                <w:szCs w:val="21"/>
                <w:lang w:val="lt-LT" w:eastAsia="lt-LT"/>
              </w:rPr>
            </w:pPr>
            <w:r>
              <w:rPr>
                <w:rFonts w:ascii="Calibri" w:hAnsi="Calibri" w:cs="Calibri"/>
                <w:sz w:val="21"/>
                <w:szCs w:val="21"/>
                <w:lang w:val="lt-LT" w:eastAsia="lt-LT"/>
              </w:rPr>
              <w:t>(Lietuvos laiku)</w:t>
            </w:r>
          </w:p>
        </w:tc>
        <w:tc>
          <w:tcPr>
            <w:tcW w:w="2954" w:type="dxa"/>
            <w:shd w:val="clear" w:color="auto" w:fill="D9D9D9"/>
            <w:tcMar>
              <w:top w:w="0" w:type="dxa"/>
              <w:left w:w="108" w:type="dxa"/>
              <w:bottom w:w="0" w:type="dxa"/>
              <w:right w:w="108" w:type="dxa"/>
            </w:tcMar>
          </w:tcPr>
          <w:p w14:paraId="1EF590BE">
            <w:pPr>
              <w:spacing w:after="160" w:line="276" w:lineRule="auto"/>
              <w:jc w:val="center"/>
              <w:rPr>
                <w:rFonts w:ascii="Calibri" w:hAnsi="Calibri" w:cs="Calibri"/>
                <w:b/>
                <w:sz w:val="21"/>
                <w:szCs w:val="21"/>
                <w:lang w:val="lt-LT" w:eastAsia="lt-LT"/>
              </w:rPr>
            </w:pPr>
            <w:r>
              <w:rPr>
                <w:rFonts w:ascii="Calibri" w:hAnsi="Calibri" w:cs="Calibri"/>
                <w:b/>
                <w:sz w:val="21"/>
                <w:szCs w:val="21"/>
                <w:lang w:val="lt-LT" w:eastAsia="lt-LT"/>
              </w:rPr>
              <w:t>PASTABOS</w:t>
            </w:r>
          </w:p>
        </w:tc>
      </w:tr>
      <w:tr w14:paraId="47E2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20D1DFA1">
            <w:pPr>
              <w:keepNext/>
              <w:rPr>
                <w:rFonts w:ascii="Calibri" w:hAnsi="Calibri" w:cs="Calibri"/>
                <w:bCs/>
                <w:sz w:val="21"/>
                <w:szCs w:val="21"/>
                <w:lang w:val="lt-LT" w:eastAsia="lt-LT"/>
              </w:rPr>
            </w:pPr>
            <w:r>
              <w:rPr>
                <w:rFonts w:ascii="Calibri" w:hAnsi="Calibri" w:cs="Calibri"/>
                <w:bCs/>
                <w:sz w:val="21"/>
                <w:szCs w:val="21"/>
                <w:lang w:val="lt-LT" w:eastAsia="lt-LT"/>
              </w:rPr>
              <w:t>1.</w:t>
            </w:r>
          </w:p>
        </w:tc>
        <w:tc>
          <w:tcPr>
            <w:tcW w:w="2531" w:type="dxa"/>
            <w:tcMar>
              <w:top w:w="0" w:type="dxa"/>
              <w:left w:w="108" w:type="dxa"/>
              <w:bottom w:w="0" w:type="dxa"/>
              <w:right w:w="108" w:type="dxa"/>
            </w:tcMar>
          </w:tcPr>
          <w:p w14:paraId="2E7CECC5">
            <w:pPr>
              <w:keepNext/>
              <w:rPr>
                <w:rFonts w:ascii="Calibri" w:hAnsi="Calibri" w:cs="Calibri"/>
                <w:sz w:val="22"/>
                <w:szCs w:val="22"/>
                <w:lang w:val="lt-LT" w:eastAsia="lt-LT"/>
              </w:rPr>
            </w:pPr>
            <w:r>
              <w:rPr>
                <w:rFonts w:ascii="Calibri" w:hAnsi="Calibri" w:cs="Calibri"/>
                <w:bCs/>
                <w:sz w:val="21"/>
                <w:szCs w:val="21"/>
                <w:lang w:val="lt-LT" w:eastAsia="lt-LT"/>
              </w:rPr>
              <w:t>Pasiūlymų pateikimo terminas</w:t>
            </w:r>
          </w:p>
        </w:tc>
        <w:tc>
          <w:tcPr>
            <w:tcW w:w="3643" w:type="dxa"/>
            <w:tcMar>
              <w:top w:w="0" w:type="dxa"/>
              <w:left w:w="108" w:type="dxa"/>
              <w:bottom w:w="0" w:type="dxa"/>
              <w:right w:w="108" w:type="dxa"/>
            </w:tcMar>
          </w:tcPr>
          <w:p w14:paraId="09940DC6">
            <w:pPr>
              <w:rPr>
                <w:rFonts w:ascii="Calibri" w:hAnsi="Calibri" w:cs="Calibri"/>
                <w:sz w:val="21"/>
                <w:szCs w:val="21"/>
                <w:lang w:val="lt-LT" w:eastAsia="lt-LT"/>
              </w:rPr>
            </w:pPr>
            <w:r>
              <w:rPr>
                <w:rFonts w:ascii="Calibri" w:hAnsi="Calibri"/>
                <w:sz w:val="21"/>
                <w:szCs w:val="21"/>
                <w:lang w:val="lt-LT" w:eastAsia="lt-LT"/>
              </w:rPr>
              <w:t xml:space="preserve">nurodytas skelbime </w:t>
            </w:r>
          </w:p>
        </w:tc>
        <w:tc>
          <w:tcPr>
            <w:tcW w:w="2954" w:type="dxa"/>
            <w:tcMar>
              <w:top w:w="0" w:type="dxa"/>
              <w:left w:w="108" w:type="dxa"/>
              <w:bottom w:w="0" w:type="dxa"/>
              <w:right w:w="108" w:type="dxa"/>
            </w:tcMar>
          </w:tcPr>
          <w:p w14:paraId="0FE10DFE">
            <w:pPr>
              <w:rPr>
                <w:rFonts w:ascii="Calibri" w:hAnsi="Calibri" w:cs="Calibri"/>
                <w:iCs/>
                <w:sz w:val="21"/>
                <w:szCs w:val="21"/>
                <w:lang w:val="lt-LT" w:eastAsia="lt-LT"/>
              </w:rPr>
            </w:pPr>
            <w:r>
              <w:rPr>
                <w:rFonts w:ascii="Calibri" w:hAnsi="Calibri" w:cs="Calibri"/>
                <w:sz w:val="21"/>
                <w:szCs w:val="21"/>
                <w:lang w:val="lt-LT" w:eastAsia="lt-LT"/>
              </w:rPr>
              <w:t>Perkančioji organizacija turi teisę pratęsti pasiūlymų pateikimo terminą.</w:t>
            </w:r>
          </w:p>
        </w:tc>
      </w:tr>
      <w:tr w14:paraId="56669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59F1FFBA">
            <w:pPr>
              <w:keepNext/>
              <w:rPr>
                <w:rFonts w:ascii="Calibri" w:hAnsi="Calibri" w:cs="Calibri"/>
                <w:bCs/>
                <w:sz w:val="21"/>
                <w:szCs w:val="21"/>
                <w:lang w:val="lt-LT" w:eastAsia="lt-LT"/>
              </w:rPr>
            </w:pPr>
            <w:r>
              <w:rPr>
                <w:rFonts w:ascii="Calibri" w:hAnsi="Calibri" w:cs="Calibri"/>
                <w:bCs/>
                <w:sz w:val="21"/>
                <w:szCs w:val="21"/>
                <w:lang w:val="lt-LT" w:eastAsia="lt-LT"/>
              </w:rPr>
              <w:t>2.</w:t>
            </w:r>
          </w:p>
        </w:tc>
        <w:tc>
          <w:tcPr>
            <w:tcW w:w="2531" w:type="dxa"/>
            <w:tcMar>
              <w:top w:w="0" w:type="dxa"/>
              <w:left w:w="108" w:type="dxa"/>
              <w:bottom w:w="0" w:type="dxa"/>
              <w:right w:w="108" w:type="dxa"/>
            </w:tcMar>
          </w:tcPr>
          <w:p w14:paraId="33EC6973">
            <w:pPr>
              <w:keepNext/>
              <w:rPr>
                <w:rFonts w:ascii="Calibri" w:hAnsi="Calibri" w:cs="Calibri"/>
                <w:sz w:val="22"/>
                <w:szCs w:val="22"/>
                <w:lang w:val="lt-LT" w:eastAsia="lt-LT"/>
              </w:rPr>
            </w:pPr>
            <w:r>
              <w:rPr>
                <w:rFonts w:ascii="Calibri" w:hAnsi="Calibri" w:cs="Calibri"/>
                <w:sz w:val="21"/>
                <w:szCs w:val="21"/>
                <w:lang w:val="lt-LT" w:eastAsia="lt-LT"/>
              </w:rPr>
              <w:t>Pradinis susipažinimas su CVP IS priemonėmis gautais pasiūlymais</w:t>
            </w:r>
          </w:p>
        </w:tc>
        <w:tc>
          <w:tcPr>
            <w:tcW w:w="3643" w:type="dxa"/>
            <w:tcMar>
              <w:top w:w="0" w:type="dxa"/>
              <w:left w:w="108" w:type="dxa"/>
              <w:bottom w:w="0" w:type="dxa"/>
              <w:right w:w="108" w:type="dxa"/>
            </w:tcMar>
          </w:tcPr>
          <w:p w14:paraId="0F962351">
            <w:pPr>
              <w:rPr>
                <w:rFonts w:ascii="Calibri" w:hAnsi="Calibri" w:cs="Calibri"/>
                <w:sz w:val="21"/>
                <w:szCs w:val="21"/>
                <w:lang w:val="lt-LT" w:eastAsia="lt-LT"/>
              </w:rPr>
            </w:pPr>
            <w:r>
              <w:rPr>
                <w:rFonts w:ascii="Calibri" w:hAnsi="Calibri" w:cs="Calibri"/>
                <w:sz w:val="21"/>
                <w:szCs w:val="21"/>
                <w:lang w:val="lt-LT" w:eastAsia="lt-LT"/>
              </w:rPr>
              <w:t>Pradedamas ne anksčiau nei po 30 minučių po pasiūlymų pateikimo termino pabaigos</w:t>
            </w:r>
          </w:p>
        </w:tc>
        <w:tc>
          <w:tcPr>
            <w:tcW w:w="2954" w:type="dxa"/>
            <w:tcMar>
              <w:top w:w="0" w:type="dxa"/>
              <w:left w:w="108" w:type="dxa"/>
              <w:bottom w:w="0" w:type="dxa"/>
              <w:right w:w="108" w:type="dxa"/>
            </w:tcMar>
          </w:tcPr>
          <w:p w14:paraId="0DD5994B">
            <w:pPr>
              <w:rPr>
                <w:rFonts w:ascii="Calibri" w:hAnsi="Calibri" w:cs="Calibri"/>
                <w:iCs/>
                <w:sz w:val="21"/>
                <w:szCs w:val="21"/>
                <w:lang w:val="lt-LT" w:eastAsia="lt-LT"/>
              </w:rPr>
            </w:pPr>
          </w:p>
        </w:tc>
      </w:tr>
      <w:tr w14:paraId="6A547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386C61A0">
            <w:pPr>
              <w:keepNext/>
              <w:rPr>
                <w:rFonts w:ascii="Calibri" w:hAnsi="Calibri" w:cs="Calibri"/>
                <w:bCs/>
                <w:sz w:val="21"/>
                <w:szCs w:val="21"/>
                <w:lang w:val="lt-LT" w:eastAsia="lt-LT"/>
              </w:rPr>
            </w:pPr>
            <w:r>
              <w:rPr>
                <w:rFonts w:ascii="Calibri" w:hAnsi="Calibri" w:cs="Calibri"/>
                <w:bCs/>
                <w:sz w:val="21"/>
                <w:szCs w:val="21"/>
                <w:lang w:val="lt-LT" w:eastAsia="lt-LT"/>
              </w:rPr>
              <w:t>3.</w:t>
            </w:r>
          </w:p>
        </w:tc>
        <w:tc>
          <w:tcPr>
            <w:tcW w:w="2531" w:type="dxa"/>
            <w:tcMar>
              <w:top w:w="0" w:type="dxa"/>
              <w:left w:w="108" w:type="dxa"/>
              <w:bottom w:w="0" w:type="dxa"/>
              <w:right w:w="108" w:type="dxa"/>
            </w:tcMar>
          </w:tcPr>
          <w:p w14:paraId="30EA17EF">
            <w:pPr>
              <w:keepNext/>
              <w:rPr>
                <w:rFonts w:ascii="Calibri" w:hAnsi="Calibri" w:cs="Calibri"/>
                <w:bCs/>
                <w:sz w:val="21"/>
                <w:szCs w:val="21"/>
                <w:lang w:val="lt-LT" w:eastAsia="lt-LT"/>
              </w:rPr>
            </w:pPr>
            <w:r>
              <w:rPr>
                <w:rFonts w:ascii="Calibri" w:hAnsi="Calibri" w:cs="Calibri"/>
                <w:sz w:val="21"/>
                <w:szCs w:val="21"/>
                <w:lang w:val="lt-LT" w:eastAsia="lt-LT"/>
              </w:rPr>
              <w:t>Prašymą paaiškinti, patikslinti pirkimo sąlygas tiekėjas turi pateikti ne vėliau kaip:</w:t>
            </w:r>
          </w:p>
        </w:tc>
        <w:tc>
          <w:tcPr>
            <w:tcW w:w="3643" w:type="dxa"/>
            <w:tcMar>
              <w:top w:w="0" w:type="dxa"/>
              <w:left w:w="108" w:type="dxa"/>
              <w:bottom w:w="0" w:type="dxa"/>
              <w:right w:w="108" w:type="dxa"/>
            </w:tcMar>
          </w:tcPr>
          <w:p w14:paraId="2F726BF5">
            <w:pPr>
              <w:rPr>
                <w:rFonts w:ascii="Calibri" w:hAnsi="Calibri" w:cs="Calibri"/>
                <w:sz w:val="21"/>
                <w:szCs w:val="21"/>
                <w:lang w:val="lt-LT" w:eastAsia="lt-LT"/>
              </w:rPr>
            </w:pPr>
            <w:r>
              <w:rPr>
                <w:rFonts w:ascii="Calibri" w:hAnsi="Calibri" w:cs="Calibri"/>
                <w:sz w:val="21"/>
                <w:szCs w:val="21"/>
                <w:lang w:val="lt-LT" w:eastAsia="lt-LT"/>
              </w:rPr>
              <w:t xml:space="preserve">10 dienų iki pasiūlymų pateikimo termino pabaigos </w:t>
            </w:r>
          </w:p>
          <w:p w14:paraId="1FA4F961">
            <w:pPr>
              <w:rPr>
                <w:rFonts w:ascii="Calibri" w:hAnsi="Calibri" w:cs="Calibri"/>
                <w:sz w:val="21"/>
                <w:szCs w:val="21"/>
                <w:lang w:val="lt-LT" w:eastAsia="lt-LT"/>
              </w:rPr>
            </w:pPr>
          </w:p>
        </w:tc>
        <w:tc>
          <w:tcPr>
            <w:tcW w:w="2954" w:type="dxa"/>
            <w:tcMar>
              <w:top w:w="0" w:type="dxa"/>
              <w:left w:w="108" w:type="dxa"/>
              <w:bottom w:w="0" w:type="dxa"/>
              <w:right w:w="108" w:type="dxa"/>
            </w:tcMar>
          </w:tcPr>
          <w:p w14:paraId="04346D5E">
            <w:pPr>
              <w:rPr>
                <w:rFonts w:ascii="Calibri" w:hAnsi="Calibri" w:cs="Calibri"/>
                <w:iCs/>
                <w:sz w:val="21"/>
                <w:szCs w:val="21"/>
                <w:lang w:val="lt-LT" w:eastAsia="lt-LT"/>
              </w:rPr>
            </w:pPr>
            <w:r>
              <w:rPr>
                <w:rFonts w:ascii="Calibri" w:hAnsi="Calibri" w:cs="Calibri"/>
                <w:iCs/>
                <w:sz w:val="21"/>
                <w:szCs w:val="21"/>
                <w:lang w:val="lt-LT" w:eastAsia="lt-LT"/>
              </w:rPr>
              <w:t>Tiekėjai prašymus paaiškinti ar patikslinti pirkimo dokumentus gali pateikti ne vėliau kaip likus 10 (dešimt) kalendorinių dienų iki pasiūlymų pateikimo termino pabaigos. Terminas nurodytas CVPIS skelbime</w:t>
            </w:r>
          </w:p>
        </w:tc>
      </w:tr>
      <w:tr w14:paraId="08D4A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450A46C2">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36496242">
            <w:pPr>
              <w:rPr>
                <w:rFonts w:ascii="Calibri" w:hAnsi="Calibri" w:cs="Calibri"/>
                <w:sz w:val="21"/>
                <w:szCs w:val="21"/>
                <w:lang w:val="lt-LT" w:eastAsia="lt-LT"/>
              </w:rPr>
            </w:pPr>
            <w:r>
              <w:rPr>
                <w:rFonts w:ascii="Calibri" w:hAnsi="Calibri" w:cs="Calibri"/>
                <w:sz w:val="22"/>
                <w:szCs w:val="22"/>
                <w:lang w:val="lt-LT" w:eastAsia="lt-LT"/>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384B5964">
            <w:pPr>
              <w:rPr>
                <w:rFonts w:ascii="Calibri" w:hAnsi="Calibri" w:cs="Calibri"/>
                <w:sz w:val="21"/>
                <w:szCs w:val="21"/>
                <w:lang w:val="lt-LT" w:eastAsia="lt-LT"/>
              </w:rPr>
            </w:pPr>
            <w:r>
              <w:rPr>
                <w:rFonts w:ascii="Calibri" w:hAnsi="Calibri" w:cs="Calibri"/>
                <w:sz w:val="21"/>
                <w:szCs w:val="21"/>
                <w:lang w:val="lt-LT" w:eastAsia="lt-LT"/>
              </w:rPr>
              <w:t>6 dienų iki pasiūlymų pateikimo termino dienos</w:t>
            </w:r>
          </w:p>
        </w:tc>
        <w:tc>
          <w:tcPr>
            <w:tcW w:w="2954" w:type="dxa"/>
            <w:tcMar>
              <w:top w:w="0" w:type="dxa"/>
              <w:left w:w="108" w:type="dxa"/>
              <w:bottom w:w="0" w:type="dxa"/>
              <w:right w:w="108" w:type="dxa"/>
            </w:tcMar>
          </w:tcPr>
          <w:p w14:paraId="2C13A604">
            <w:pPr>
              <w:rPr>
                <w:rFonts w:ascii="Calibri" w:hAnsi="Calibri" w:cs="Calibri"/>
                <w:sz w:val="21"/>
                <w:szCs w:val="21"/>
                <w:lang w:val="lt-LT" w:eastAsia="lt-LT"/>
              </w:rPr>
            </w:pPr>
          </w:p>
        </w:tc>
      </w:tr>
      <w:tr w14:paraId="4308A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600EC535">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31B07233">
            <w:pPr>
              <w:rPr>
                <w:rFonts w:ascii="Calibri" w:hAnsi="Calibri" w:cs="Calibri"/>
                <w:sz w:val="22"/>
                <w:szCs w:val="22"/>
                <w:lang w:val="lt-LT" w:eastAsia="lt-LT"/>
              </w:rPr>
            </w:pPr>
            <w:r>
              <w:rPr>
                <w:rFonts w:ascii="Calibri" w:hAnsi="Calibri" w:cs="Calibri"/>
                <w:sz w:val="22"/>
                <w:szCs w:val="22"/>
                <w:lang w:val="lt-LT" w:eastAsia="lt-LT"/>
              </w:rPr>
              <w:t>Objekto apžiūra bus vykdoma:</w:t>
            </w:r>
          </w:p>
        </w:tc>
        <w:tc>
          <w:tcPr>
            <w:tcW w:w="3643" w:type="dxa"/>
            <w:tcMar>
              <w:top w:w="0" w:type="dxa"/>
              <w:left w:w="108" w:type="dxa"/>
              <w:bottom w:w="0" w:type="dxa"/>
              <w:right w:w="108" w:type="dxa"/>
            </w:tcMar>
          </w:tcPr>
          <w:p w14:paraId="19703BA0">
            <w:pPr>
              <w:rPr>
                <w:rFonts w:ascii="Calibri" w:hAnsi="Calibri" w:cs="Calibri"/>
                <w:iCs/>
                <w:sz w:val="21"/>
                <w:szCs w:val="21"/>
                <w:lang w:val="lt-LT" w:eastAsia="lt-LT"/>
              </w:rPr>
            </w:pPr>
            <w:r>
              <w:rPr>
                <w:rFonts w:ascii="Calibri" w:hAnsi="Calibri" w:cs="Calibri"/>
                <w:iCs/>
                <w:sz w:val="21"/>
                <w:szCs w:val="21"/>
                <w:lang w:val="lt-LT" w:eastAsia="lt-LT"/>
              </w:rPr>
              <w:t>NETAIKOMA</w:t>
            </w:r>
          </w:p>
        </w:tc>
        <w:tc>
          <w:tcPr>
            <w:tcW w:w="2954" w:type="dxa"/>
            <w:tcMar>
              <w:top w:w="0" w:type="dxa"/>
              <w:left w:w="108" w:type="dxa"/>
              <w:bottom w:w="0" w:type="dxa"/>
              <w:right w:w="108" w:type="dxa"/>
            </w:tcMar>
          </w:tcPr>
          <w:p w14:paraId="01AC1E07">
            <w:pPr>
              <w:rPr>
                <w:rFonts w:ascii="Calibri" w:hAnsi="Calibri" w:cs="Calibri"/>
                <w:sz w:val="21"/>
                <w:szCs w:val="21"/>
                <w:lang w:val="lt-LT" w:eastAsia="lt-LT"/>
              </w:rPr>
            </w:pPr>
          </w:p>
        </w:tc>
      </w:tr>
      <w:tr w14:paraId="3217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3F348FB7">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5E7A2576">
            <w:pPr>
              <w:rPr>
                <w:rFonts w:ascii="Calibri" w:hAnsi="Calibri" w:cs="Calibri"/>
                <w:sz w:val="21"/>
                <w:szCs w:val="21"/>
                <w:lang w:val="lt-LT" w:eastAsia="lt-LT"/>
              </w:rPr>
            </w:pPr>
            <w:r>
              <w:rPr>
                <w:rFonts w:ascii="Calibri" w:hAnsi="Calibri" w:cs="Calibri"/>
                <w:sz w:val="21"/>
                <w:szCs w:val="21"/>
                <w:lang w:val="lt-LT" w:eastAsia="lt-LT"/>
              </w:rPr>
              <w:t>Perkančioji organizacija rengs susitikimus su tiekėjais dėl pirkimo sąlygų paaiškinimo</w:t>
            </w:r>
          </w:p>
        </w:tc>
        <w:tc>
          <w:tcPr>
            <w:tcW w:w="3643" w:type="dxa"/>
            <w:tcMar>
              <w:top w:w="0" w:type="dxa"/>
              <w:left w:w="108" w:type="dxa"/>
              <w:bottom w:w="0" w:type="dxa"/>
              <w:right w:w="108" w:type="dxa"/>
            </w:tcMar>
          </w:tcPr>
          <w:p w14:paraId="6CB97EC9">
            <w:pPr>
              <w:rPr>
                <w:rFonts w:ascii="Calibri" w:hAnsi="Calibri" w:cs="Calibri"/>
                <w:iCs/>
                <w:sz w:val="21"/>
                <w:szCs w:val="21"/>
                <w:lang w:val="lt-LT" w:eastAsia="lt-LT"/>
              </w:rPr>
            </w:pPr>
            <w:r>
              <w:rPr>
                <w:rFonts w:ascii="Calibri" w:hAnsi="Calibri" w:cs="Calibri"/>
                <w:iCs/>
                <w:sz w:val="21"/>
                <w:szCs w:val="21"/>
                <w:lang w:val="lt-LT" w:eastAsia="lt-LT"/>
              </w:rPr>
              <w:t>NETAIKOMA</w:t>
            </w:r>
          </w:p>
        </w:tc>
        <w:tc>
          <w:tcPr>
            <w:tcW w:w="2954" w:type="dxa"/>
            <w:tcMar>
              <w:top w:w="0" w:type="dxa"/>
              <w:left w:w="108" w:type="dxa"/>
              <w:bottom w:w="0" w:type="dxa"/>
              <w:right w:w="108" w:type="dxa"/>
            </w:tcMar>
          </w:tcPr>
          <w:p w14:paraId="30010488">
            <w:pPr>
              <w:rPr>
                <w:rFonts w:ascii="Calibri" w:hAnsi="Calibri" w:cs="Calibri"/>
                <w:sz w:val="21"/>
                <w:szCs w:val="21"/>
                <w:lang w:val="lt-LT" w:eastAsia="lt-LT"/>
              </w:rPr>
            </w:pPr>
          </w:p>
        </w:tc>
      </w:tr>
      <w:tr w14:paraId="12AC8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4D2A296B">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6583CA2E">
            <w:pPr>
              <w:rPr>
                <w:rFonts w:ascii="Calibri" w:hAnsi="Calibri"/>
                <w:sz w:val="21"/>
                <w:szCs w:val="21"/>
                <w:lang w:val="lt-LT" w:eastAsia="lt-LT"/>
              </w:rPr>
            </w:pPr>
            <w:r>
              <w:rPr>
                <w:rFonts w:ascii="Calibri" w:hAnsi="Calibri"/>
                <w:sz w:val="21"/>
                <w:szCs w:val="21"/>
                <w:lang w:val="lt-LT" w:eastAsia="lt-LT"/>
              </w:rPr>
              <w:t>Tiekėjai turi pateikti prekių pavyzdžius</w:t>
            </w:r>
          </w:p>
        </w:tc>
        <w:tc>
          <w:tcPr>
            <w:tcW w:w="3643" w:type="dxa"/>
            <w:tcMar>
              <w:top w:w="0" w:type="dxa"/>
              <w:left w:w="108" w:type="dxa"/>
              <w:bottom w:w="0" w:type="dxa"/>
              <w:right w:w="108" w:type="dxa"/>
            </w:tcMar>
          </w:tcPr>
          <w:p w14:paraId="1A9B5F2B">
            <w:pPr>
              <w:suppressAutoHyphens/>
              <w:jc w:val="both"/>
              <w:rPr>
                <w:rFonts w:ascii="Calibri" w:hAnsi="Calibri" w:eastAsia="Arial Unicode MS" w:cs="Calibri"/>
                <w:sz w:val="21"/>
                <w:szCs w:val="21"/>
                <w:lang w:val="lt-LT"/>
              </w:rPr>
            </w:pPr>
            <w:r>
              <w:rPr>
                <w:rFonts w:ascii="Calibri" w:hAnsi="Calibri" w:eastAsia="Arial Unicode MS" w:cs="Calibri"/>
                <w:sz w:val="21"/>
                <w:szCs w:val="21"/>
                <w:lang w:val="lt-LT"/>
              </w:rPr>
              <w:t>NETAIKOMA</w:t>
            </w:r>
          </w:p>
          <w:p w14:paraId="4F302E1E">
            <w:pPr>
              <w:rPr>
                <w:rFonts w:ascii="Calibri" w:hAnsi="Calibri" w:cs="Calibri"/>
                <w:iCs/>
                <w:sz w:val="21"/>
                <w:szCs w:val="21"/>
                <w:lang w:val="lt-LT" w:eastAsia="lt-LT"/>
              </w:rPr>
            </w:pPr>
            <w:r>
              <w:rPr>
                <w:rFonts w:ascii="Calibri" w:hAnsi="Calibri" w:cs="Calibri"/>
                <w:i/>
                <w:iCs/>
                <w:sz w:val="21"/>
                <w:szCs w:val="21"/>
                <w:lang w:val="lt-LT" w:eastAsia="lt-LT"/>
              </w:rPr>
              <w:t xml:space="preserve"> </w:t>
            </w:r>
          </w:p>
        </w:tc>
        <w:tc>
          <w:tcPr>
            <w:tcW w:w="2954" w:type="dxa"/>
            <w:tcMar>
              <w:top w:w="0" w:type="dxa"/>
              <w:left w:w="108" w:type="dxa"/>
              <w:bottom w:w="0" w:type="dxa"/>
              <w:right w:w="108" w:type="dxa"/>
            </w:tcMar>
          </w:tcPr>
          <w:p w14:paraId="066603CD">
            <w:pPr>
              <w:rPr>
                <w:rFonts w:ascii="Calibri" w:hAnsi="Calibri" w:cs="Calibri"/>
                <w:sz w:val="21"/>
                <w:szCs w:val="21"/>
                <w:lang w:val="lt-LT" w:eastAsia="lt-LT"/>
              </w:rPr>
            </w:pPr>
          </w:p>
        </w:tc>
      </w:tr>
      <w:tr w14:paraId="4BD73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00B2443C">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51F06FB0">
            <w:pPr>
              <w:rPr>
                <w:rFonts w:ascii="Calibri" w:hAnsi="Calibri" w:cs="Calibri"/>
                <w:bCs/>
                <w:sz w:val="21"/>
                <w:szCs w:val="21"/>
                <w:lang w:val="lt-LT" w:eastAsia="lt-LT"/>
              </w:rPr>
            </w:pPr>
            <w:r>
              <w:rPr>
                <w:rFonts w:ascii="Calibri" w:hAnsi="Calibri" w:cs="Calibri"/>
                <w:bCs/>
                <w:sz w:val="21"/>
                <w:szCs w:val="21"/>
                <w:lang w:val="lt-LT" w:eastAsia="lt-LT"/>
              </w:rPr>
              <w:t>Pasiūlymo galiojimo ir pasiūlymo galiojimo užtikrinimo (jei taikoma) terminas ne trumpesnis kaip</w:t>
            </w:r>
          </w:p>
        </w:tc>
        <w:tc>
          <w:tcPr>
            <w:tcW w:w="3643" w:type="dxa"/>
            <w:tcMar>
              <w:top w:w="0" w:type="dxa"/>
              <w:left w:w="108" w:type="dxa"/>
              <w:bottom w:w="0" w:type="dxa"/>
              <w:right w:w="108" w:type="dxa"/>
            </w:tcMar>
          </w:tcPr>
          <w:p w14:paraId="0FF98E21">
            <w:pPr>
              <w:rPr>
                <w:rFonts w:ascii="Calibri" w:hAnsi="Calibri" w:cs="Calibri"/>
                <w:iCs/>
                <w:sz w:val="21"/>
                <w:szCs w:val="21"/>
                <w:lang w:val="lt-LT" w:eastAsia="lt-LT"/>
              </w:rPr>
            </w:pPr>
            <w:r>
              <w:rPr>
                <w:rFonts w:ascii="Calibri" w:hAnsi="Calibri" w:cs="Calibri"/>
                <w:iCs/>
                <w:sz w:val="21"/>
                <w:szCs w:val="21"/>
                <w:lang w:val="lt-LT" w:eastAsia="lt-LT"/>
              </w:rPr>
              <w:t>90 (devyniasdešimt) dienų nuo pasiūlymų pateikimo galutinio termino pabaigos</w:t>
            </w:r>
          </w:p>
        </w:tc>
        <w:tc>
          <w:tcPr>
            <w:tcW w:w="2954" w:type="dxa"/>
            <w:tcMar>
              <w:top w:w="0" w:type="dxa"/>
              <w:left w:w="108" w:type="dxa"/>
              <w:bottom w:w="0" w:type="dxa"/>
              <w:right w:w="108" w:type="dxa"/>
            </w:tcMar>
          </w:tcPr>
          <w:p w14:paraId="73CE4919">
            <w:pPr>
              <w:rPr>
                <w:rFonts w:ascii="Calibri" w:hAnsi="Calibri" w:cs="Calibri"/>
                <w:sz w:val="21"/>
                <w:szCs w:val="21"/>
                <w:lang w:val="lt-LT" w:eastAsia="lt-LT"/>
              </w:rPr>
            </w:pPr>
          </w:p>
        </w:tc>
      </w:tr>
      <w:tr w14:paraId="25D9B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1B806069">
            <w:pPr>
              <w:numPr>
                <w:ilvl w:val="0"/>
                <w:numId w:val="9"/>
              </w:numPr>
              <w:spacing w:after="160" w:line="276" w:lineRule="auto"/>
              <w:contextualSpacing/>
              <w:rPr>
                <w:rFonts w:ascii="Calibri" w:hAnsi="Calibri"/>
                <w:sz w:val="21"/>
                <w:szCs w:val="21"/>
                <w:lang w:val="lt-LT" w:eastAsia="lt-LT"/>
              </w:rPr>
            </w:pPr>
          </w:p>
        </w:tc>
        <w:tc>
          <w:tcPr>
            <w:tcW w:w="2531" w:type="dxa"/>
            <w:tcMar>
              <w:top w:w="0" w:type="dxa"/>
              <w:left w:w="108" w:type="dxa"/>
              <w:bottom w:w="0" w:type="dxa"/>
              <w:right w:w="108" w:type="dxa"/>
            </w:tcMar>
          </w:tcPr>
          <w:p w14:paraId="26FF61D4">
            <w:pPr>
              <w:rPr>
                <w:rFonts w:ascii="Calibri" w:hAnsi="Calibri" w:cs="Calibri"/>
                <w:bCs/>
                <w:sz w:val="21"/>
                <w:szCs w:val="21"/>
                <w:lang w:val="lt-LT" w:eastAsia="lt-LT"/>
              </w:rPr>
            </w:pPr>
            <w:r>
              <w:rPr>
                <w:rFonts w:ascii="Calibri" w:hAnsi="Calibri" w:cs="Calibri"/>
                <w:sz w:val="21"/>
                <w:szCs w:val="21"/>
                <w:lang w:val="lt-LT" w:eastAsia="lt-LT"/>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2E58D902">
            <w:pPr>
              <w:rPr>
                <w:rFonts w:ascii="Calibri" w:hAnsi="Calibri" w:cs="Calibri"/>
                <w:sz w:val="21"/>
                <w:szCs w:val="21"/>
                <w:lang w:val="lt-LT" w:eastAsia="lt-LT"/>
              </w:rPr>
            </w:pPr>
            <w:r>
              <w:rPr>
                <w:rFonts w:ascii="Calibri" w:hAnsi="Calibri" w:cs="Calibri"/>
                <w:iCs/>
                <w:sz w:val="21"/>
                <w:szCs w:val="21"/>
                <w:lang w:val="lt-LT" w:eastAsia="lt-LT"/>
              </w:rPr>
              <w:t xml:space="preserve">3 (tris) darbo dienas </w:t>
            </w:r>
            <w:r>
              <w:rPr>
                <w:rFonts w:ascii="Calibri" w:hAnsi="Calibri" w:cs="Calibri"/>
                <w:sz w:val="21"/>
                <w:szCs w:val="21"/>
                <w:lang w:val="lt-LT" w:eastAsia="lt-LT"/>
              </w:rPr>
              <w:t>nuo prašymo gavimo dienos</w:t>
            </w:r>
          </w:p>
          <w:p w14:paraId="2189F726">
            <w:pPr>
              <w:rPr>
                <w:rFonts w:ascii="Calibri" w:hAnsi="Calibri" w:cs="Calibri"/>
                <w:iCs/>
                <w:sz w:val="21"/>
                <w:szCs w:val="21"/>
                <w:lang w:val="en-US" w:eastAsia="lt-LT"/>
              </w:rPr>
            </w:pPr>
          </w:p>
        </w:tc>
        <w:tc>
          <w:tcPr>
            <w:tcW w:w="2954" w:type="dxa"/>
            <w:tcMar>
              <w:top w:w="0" w:type="dxa"/>
              <w:left w:w="108" w:type="dxa"/>
              <w:bottom w:w="0" w:type="dxa"/>
              <w:right w:w="108" w:type="dxa"/>
            </w:tcMar>
          </w:tcPr>
          <w:p w14:paraId="44DB22FA">
            <w:pPr>
              <w:rPr>
                <w:rFonts w:ascii="Calibri" w:hAnsi="Calibri"/>
                <w:sz w:val="21"/>
                <w:szCs w:val="21"/>
                <w:lang w:val="lt-LT" w:eastAsia="lt-LT"/>
              </w:rPr>
            </w:pPr>
            <w:r>
              <w:rPr>
                <w:rFonts w:ascii="Calibri" w:hAnsi="Calibri"/>
                <w:sz w:val="21"/>
                <w:szCs w:val="21"/>
                <w:lang w:val="lt-LT" w:eastAsia="lt-LT"/>
              </w:rPr>
              <w:t>Netaikoma, jei neprašoma pateikti pasiūlymo galiojimo užtikrinimą patvirtinančio dokumento</w:t>
            </w:r>
          </w:p>
        </w:tc>
      </w:tr>
      <w:tr w14:paraId="59145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2C54F178">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51C0644E">
            <w:pPr>
              <w:rPr>
                <w:rFonts w:ascii="Calibri" w:hAnsi="Calibri" w:cs="Calibri"/>
                <w:bCs/>
                <w:sz w:val="21"/>
                <w:szCs w:val="21"/>
                <w:lang w:val="lt-LT" w:eastAsia="lt-LT"/>
              </w:rPr>
            </w:pPr>
            <w:r>
              <w:rPr>
                <w:rFonts w:ascii="Calibri" w:hAnsi="Calibri" w:cs="Calibri"/>
                <w:sz w:val="21"/>
                <w:szCs w:val="21"/>
                <w:lang w:val="lt-LT" w:eastAsia="lt-LT"/>
              </w:rPr>
              <w:t>Pasiūlymo galiojimo užtikrinimas pirkimo dalyviui grąžinamas (arba atsisakoma teisių į jį) per</w:t>
            </w:r>
          </w:p>
        </w:tc>
        <w:tc>
          <w:tcPr>
            <w:tcW w:w="3643" w:type="dxa"/>
            <w:tcMar>
              <w:top w:w="0" w:type="dxa"/>
              <w:left w:w="108" w:type="dxa"/>
              <w:bottom w:w="0" w:type="dxa"/>
              <w:right w:w="108" w:type="dxa"/>
            </w:tcMar>
          </w:tcPr>
          <w:p w14:paraId="5CD4EAC3">
            <w:pPr>
              <w:jc w:val="both"/>
              <w:rPr>
                <w:rFonts w:ascii="Calibri" w:hAnsi="Calibri" w:cs="Calibri"/>
                <w:sz w:val="21"/>
                <w:szCs w:val="21"/>
                <w:lang w:val="lt-LT" w:eastAsia="lt-LT"/>
              </w:rPr>
            </w:pPr>
            <w:r>
              <w:rPr>
                <w:rFonts w:ascii="Calibri" w:hAnsi="Calibri" w:cs="Calibri"/>
                <w:sz w:val="21"/>
                <w:szCs w:val="21"/>
                <w:lang w:val="lt-LT" w:eastAsia="lt-LT"/>
              </w:rPr>
              <w:t>5 (penkias) darbo dienas nuo prašymo gavimo dienos</w:t>
            </w:r>
          </w:p>
          <w:p w14:paraId="6F3F204A">
            <w:pPr>
              <w:jc w:val="both"/>
              <w:rPr>
                <w:rFonts w:ascii="Calibri" w:hAnsi="Calibri" w:cs="Calibri"/>
                <w:sz w:val="21"/>
                <w:szCs w:val="21"/>
                <w:lang w:val="lt-LT" w:eastAsia="lt-LT"/>
              </w:rPr>
            </w:pPr>
          </w:p>
        </w:tc>
        <w:tc>
          <w:tcPr>
            <w:tcW w:w="2954" w:type="dxa"/>
            <w:tcMar>
              <w:top w:w="0" w:type="dxa"/>
              <w:left w:w="108" w:type="dxa"/>
              <w:bottom w:w="0" w:type="dxa"/>
              <w:right w:w="108" w:type="dxa"/>
            </w:tcMar>
          </w:tcPr>
          <w:p w14:paraId="63C6B4D6">
            <w:pPr>
              <w:rPr>
                <w:rFonts w:ascii="Calibri" w:hAnsi="Calibri"/>
                <w:sz w:val="21"/>
                <w:szCs w:val="21"/>
                <w:lang w:val="lt-LT" w:eastAsia="lt-LT"/>
              </w:rPr>
            </w:pPr>
            <w:r>
              <w:rPr>
                <w:rFonts w:ascii="Calibri" w:hAnsi="Calibri"/>
                <w:sz w:val="21"/>
                <w:szCs w:val="21"/>
                <w:lang w:val="lt-LT" w:eastAsia="lt-LT"/>
              </w:rPr>
              <w:t>Netaikoma, jei neprašoma pateikti pasiūlymo galiojimo užtikrinimą patvirtinančio dokumento</w:t>
            </w:r>
          </w:p>
        </w:tc>
      </w:tr>
      <w:tr w14:paraId="4FA9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7D32024B">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028F02D7">
            <w:pPr>
              <w:rPr>
                <w:rFonts w:ascii="Calibri" w:hAnsi="Calibri" w:cs="Calibri"/>
                <w:bCs/>
                <w:sz w:val="21"/>
                <w:szCs w:val="21"/>
                <w:lang w:val="lt-LT" w:eastAsia="lt-LT"/>
              </w:rPr>
            </w:pPr>
            <w:r>
              <w:rPr>
                <w:rFonts w:ascii="Calibri" w:hAnsi="Calibri" w:cs="Calibri"/>
                <w:bCs/>
                <w:sz w:val="21"/>
                <w:szCs w:val="21"/>
                <w:lang w:val="lt-LT" w:eastAsia="lt-LT"/>
              </w:rPr>
              <w:t>Perkančioji organizacija informuoja pirkimo dalyvius apie EBVPD vertinimo rezultatus ne vėliau kaip per</w:t>
            </w:r>
          </w:p>
        </w:tc>
        <w:tc>
          <w:tcPr>
            <w:tcW w:w="3643" w:type="dxa"/>
            <w:tcMar>
              <w:top w:w="0" w:type="dxa"/>
              <w:left w:w="108" w:type="dxa"/>
              <w:bottom w:w="0" w:type="dxa"/>
              <w:right w:w="108" w:type="dxa"/>
            </w:tcMar>
          </w:tcPr>
          <w:p w14:paraId="436CB4DE">
            <w:pPr>
              <w:rPr>
                <w:rFonts w:ascii="Calibri" w:hAnsi="Calibri" w:cs="Calibri"/>
                <w:bCs/>
                <w:sz w:val="21"/>
                <w:szCs w:val="21"/>
                <w:lang w:val="lt-LT" w:eastAsia="lt-LT"/>
              </w:rPr>
            </w:pPr>
            <w:r>
              <w:rPr>
                <w:rFonts w:ascii="Calibri" w:hAnsi="Calibri" w:cs="Calibri"/>
                <w:bCs/>
                <w:sz w:val="21"/>
                <w:szCs w:val="21"/>
                <w:lang w:val="lt-LT" w:eastAsia="lt-LT"/>
              </w:rPr>
              <w:t>3 (tris) darbo dienas nuo sprendimo priėmimo dienos</w:t>
            </w:r>
          </w:p>
        </w:tc>
        <w:tc>
          <w:tcPr>
            <w:tcW w:w="2954" w:type="dxa"/>
            <w:tcMar>
              <w:top w:w="0" w:type="dxa"/>
              <w:left w:w="108" w:type="dxa"/>
              <w:bottom w:w="0" w:type="dxa"/>
              <w:right w:w="108" w:type="dxa"/>
            </w:tcMar>
          </w:tcPr>
          <w:p w14:paraId="3C637C6C">
            <w:pPr>
              <w:rPr>
                <w:rFonts w:ascii="Calibri" w:hAnsi="Calibri" w:cs="Calibri"/>
                <w:bCs/>
                <w:sz w:val="21"/>
                <w:szCs w:val="21"/>
                <w:lang w:val="lt-LT" w:eastAsia="lt-LT"/>
              </w:rPr>
            </w:pPr>
          </w:p>
        </w:tc>
      </w:tr>
      <w:tr w14:paraId="3392C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22BA412C">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5E630C0D">
            <w:pPr>
              <w:rPr>
                <w:rFonts w:ascii="Calibri" w:hAnsi="Calibri" w:cs="Calibri"/>
                <w:bCs/>
                <w:sz w:val="21"/>
                <w:szCs w:val="21"/>
                <w:lang w:val="lt-LT" w:eastAsia="lt-LT"/>
              </w:rPr>
            </w:pPr>
            <w:r>
              <w:rPr>
                <w:rFonts w:ascii="Calibri" w:hAnsi="Calibri" w:cs="Calibri"/>
                <w:bCs/>
                <w:sz w:val="21"/>
                <w:szCs w:val="21"/>
                <w:lang w:val="lt-LT" w:eastAsia="lt-LT"/>
              </w:rPr>
              <w:t xml:space="preserve">Perkančioji organizacija pirkimo dalyviams praneša apie priimtą sprendimą nustatyti laimėjusį pasiūlymą, </w:t>
            </w:r>
            <w:r>
              <w:rPr>
                <w:rFonts w:ascii="Calibri" w:hAnsi="Calibri" w:cs="Calibri"/>
                <w:sz w:val="21"/>
                <w:szCs w:val="21"/>
                <w:lang w:val="lt-LT" w:eastAsia="lt-LT"/>
              </w:rPr>
              <w:t>dėl kurio bus sudaroma</w:t>
            </w:r>
            <w:r>
              <w:rPr>
                <w:rFonts w:ascii="Calibri" w:hAnsi="Calibri" w:cs="Calibri"/>
                <w:bCs/>
                <w:sz w:val="21"/>
                <w:szCs w:val="21"/>
                <w:lang w:val="lt-LT" w:eastAsia="lt-LT"/>
              </w:rPr>
              <w:t xml:space="preserve"> sutartis ne vėliau kaip per</w:t>
            </w:r>
          </w:p>
        </w:tc>
        <w:tc>
          <w:tcPr>
            <w:tcW w:w="3643" w:type="dxa"/>
            <w:tcMar>
              <w:top w:w="0" w:type="dxa"/>
              <w:left w:w="108" w:type="dxa"/>
              <w:bottom w:w="0" w:type="dxa"/>
              <w:right w:w="108" w:type="dxa"/>
            </w:tcMar>
          </w:tcPr>
          <w:p w14:paraId="18D22B1D">
            <w:pPr>
              <w:rPr>
                <w:rFonts w:ascii="Calibri" w:hAnsi="Calibri" w:cs="Calibri"/>
                <w:bCs/>
                <w:sz w:val="21"/>
                <w:szCs w:val="21"/>
                <w:lang w:val="lt-LT" w:eastAsia="lt-LT"/>
              </w:rPr>
            </w:pPr>
            <w:r>
              <w:rPr>
                <w:rFonts w:ascii="Calibri" w:hAnsi="Calibri" w:cs="Calibri"/>
                <w:bCs/>
                <w:sz w:val="21"/>
                <w:szCs w:val="21"/>
                <w:lang w:val="lt-LT" w:eastAsia="lt-LT"/>
              </w:rPr>
              <w:t>3 (tris) darbo dienas nuo sprendimo priėmimo dienos</w:t>
            </w:r>
          </w:p>
        </w:tc>
        <w:tc>
          <w:tcPr>
            <w:tcW w:w="2954" w:type="dxa"/>
            <w:tcMar>
              <w:top w:w="0" w:type="dxa"/>
              <w:left w:w="108" w:type="dxa"/>
              <w:bottom w:w="0" w:type="dxa"/>
              <w:right w:w="108" w:type="dxa"/>
            </w:tcMar>
          </w:tcPr>
          <w:p w14:paraId="51CCA996">
            <w:pPr>
              <w:rPr>
                <w:rFonts w:ascii="Calibri" w:hAnsi="Calibri" w:cs="Calibri"/>
                <w:sz w:val="21"/>
                <w:szCs w:val="21"/>
                <w:lang w:val="lt-LT" w:eastAsia="lt-LT"/>
              </w:rPr>
            </w:pPr>
          </w:p>
        </w:tc>
      </w:tr>
      <w:tr w14:paraId="0DC6E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20CB2D4F">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2D95F6CF">
            <w:pPr>
              <w:rPr>
                <w:rFonts w:ascii="Calibri" w:hAnsi="Calibri" w:cs="Calibri"/>
                <w:bCs/>
                <w:sz w:val="21"/>
                <w:szCs w:val="21"/>
                <w:lang w:val="lt-LT" w:eastAsia="lt-LT"/>
              </w:rPr>
            </w:pPr>
            <w:r>
              <w:rPr>
                <w:rFonts w:ascii="Calibri" w:hAnsi="Calibri" w:cs="Calibri"/>
                <w:bCs/>
                <w:sz w:val="21"/>
                <w:szCs w:val="21"/>
                <w:lang w:val="lt-LT" w:eastAsia="lt-LT"/>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6D2A2522">
            <w:pPr>
              <w:rPr>
                <w:rFonts w:ascii="Calibri" w:hAnsi="Calibri" w:cs="Calibri"/>
                <w:bCs/>
                <w:sz w:val="21"/>
                <w:szCs w:val="21"/>
                <w:lang w:val="lt-LT" w:eastAsia="lt-LT"/>
              </w:rPr>
            </w:pPr>
            <w:r>
              <w:rPr>
                <w:rFonts w:ascii="Calibri" w:hAnsi="Calibri" w:cs="Calibri"/>
                <w:bCs/>
                <w:sz w:val="21"/>
                <w:szCs w:val="21"/>
                <w:lang w:val="lt-LT" w:eastAsia="lt-LT"/>
              </w:rPr>
              <w:t>15 (penkiolika) dienų nuo pirkimo dalyvio raštu pateikto prašymo gavimo dienos</w:t>
            </w:r>
          </w:p>
        </w:tc>
        <w:tc>
          <w:tcPr>
            <w:tcW w:w="2954" w:type="dxa"/>
            <w:tcMar>
              <w:top w:w="0" w:type="dxa"/>
              <w:left w:w="108" w:type="dxa"/>
              <w:bottom w:w="0" w:type="dxa"/>
              <w:right w:w="108" w:type="dxa"/>
            </w:tcMar>
          </w:tcPr>
          <w:p w14:paraId="04DF8390">
            <w:pPr>
              <w:shd w:val="clear" w:color="auto" w:fill="FFFFFF"/>
              <w:ind w:firstLine="313"/>
              <w:rPr>
                <w:rFonts w:ascii="Calibri" w:hAnsi="Calibri" w:cs="Calibri"/>
                <w:sz w:val="20"/>
                <w:szCs w:val="20"/>
                <w:lang w:val="lt-LT" w:eastAsia="lt-LT"/>
              </w:rPr>
            </w:pPr>
          </w:p>
        </w:tc>
      </w:tr>
      <w:tr w14:paraId="70556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22D92BFC">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0079350C">
            <w:pPr>
              <w:rPr>
                <w:rFonts w:ascii="Calibri" w:hAnsi="Calibri" w:cs="Calibri"/>
                <w:bCs/>
                <w:sz w:val="21"/>
                <w:szCs w:val="21"/>
                <w:lang w:val="lt-LT" w:eastAsia="lt-LT"/>
              </w:rPr>
            </w:pPr>
            <w:r>
              <w:rPr>
                <w:rFonts w:ascii="Calibri" w:hAnsi="Calibri" w:cs="Calibri"/>
                <w:color w:val="000000"/>
                <w:sz w:val="21"/>
                <w:szCs w:val="21"/>
                <w:shd w:val="clear" w:color="auto" w:fill="FFFFFF"/>
                <w:lang w:val="lt-LT" w:eastAsia="lt-LT"/>
              </w:rPr>
              <w:t xml:space="preserve">Tiekėjas turi teisę pateikti pretenziją perkančiajai organizacijai, pateikti prašymą ar pareikšti ieškinį teismui </w:t>
            </w:r>
            <w:r>
              <w:rPr>
                <w:rFonts w:ascii="Calibri" w:hAnsi="Calibri" w:cs="Calibri"/>
                <w:bCs/>
                <w:sz w:val="21"/>
                <w:szCs w:val="21"/>
                <w:lang w:val="lt-LT" w:eastAsia="lt-LT"/>
              </w:rPr>
              <w:t>ne vėliau kaip per</w:t>
            </w:r>
          </w:p>
        </w:tc>
        <w:tc>
          <w:tcPr>
            <w:tcW w:w="3643" w:type="dxa"/>
            <w:tcMar>
              <w:top w:w="0" w:type="dxa"/>
              <w:left w:w="108" w:type="dxa"/>
              <w:bottom w:w="0" w:type="dxa"/>
              <w:right w:w="108" w:type="dxa"/>
            </w:tcMar>
          </w:tcPr>
          <w:p w14:paraId="352E1CF8">
            <w:pPr>
              <w:rPr>
                <w:rFonts w:ascii="Calibri" w:hAnsi="Calibri" w:cs="Calibri"/>
                <w:sz w:val="21"/>
                <w:szCs w:val="21"/>
                <w:lang w:val="lt-LT" w:eastAsia="lt-LT"/>
              </w:rPr>
            </w:pPr>
            <w:r>
              <w:rPr>
                <w:rFonts w:ascii="Calibri" w:hAnsi="Calibri" w:cs="Calibri"/>
                <w:sz w:val="21"/>
                <w:szCs w:val="21"/>
                <w:lang w:val="lt-LT" w:eastAsia="lt-LT"/>
              </w:rPr>
              <w:t>10 (dešimt) dienų</w:t>
            </w:r>
          </w:p>
          <w:p w14:paraId="451A27B1">
            <w:pPr>
              <w:jc w:val="both"/>
              <w:rPr>
                <w:rFonts w:ascii="Calibri" w:hAnsi="Calibri" w:cs="Calibri"/>
                <w:sz w:val="21"/>
                <w:szCs w:val="21"/>
                <w:lang w:val="lt-LT" w:eastAsia="lt-LT"/>
              </w:rPr>
            </w:pPr>
            <w:r>
              <w:rPr>
                <w:rFonts w:ascii="Calibri" w:hAnsi="Calibri" w:cs="Calibri"/>
                <w:sz w:val="21"/>
                <w:szCs w:val="21"/>
                <w:lang w:val="lt-LT" w:eastAsia="lt-LT"/>
              </w:rPr>
              <w:t xml:space="preserve">nuo </w:t>
            </w:r>
            <w:r>
              <w:rPr>
                <w:rFonts w:ascii="Calibri" w:hAnsi="Calibri" w:eastAsia="Arial" w:cs="Calibri"/>
                <w:sz w:val="21"/>
                <w:szCs w:val="21"/>
                <w:lang w:val="lt-LT" w:eastAsia="lt-LT"/>
              </w:rPr>
              <w:t>perkančiosios organizacijos</w:t>
            </w:r>
            <w:r>
              <w:rPr>
                <w:rFonts w:ascii="Calibri" w:hAnsi="Calibri" w:cs="Calibri"/>
                <w:sz w:val="21"/>
                <w:szCs w:val="21"/>
                <w:lang w:val="lt-LT" w:eastAsia="lt-LT"/>
              </w:rPr>
              <w:t xml:space="preserve"> pranešimo raštu apie jos priimtą sprendimą išsiuntimo tiekėjams dienos arba nuo paskelbimo apie </w:t>
            </w:r>
            <w:r>
              <w:rPr>
                <w:rFonts w:ascii="Calibri" w:hAnsi="Calibri" w:eastAsia="Arial" w:cs="Calibri"/>
                <w:sz w:val="21"/>
                <w:szCs w:val="21"/>
                <w:lang w:val="lt-LT" w:eastAsia="lt-LT"/>
              </w:rPr>
              <w:t>perkančiosios organizacijos</w:t>
            </w:r>
            <w:r>
              <w:rPr>
                <w:rFonts w:ascii="Calibri" w:hAnsi="Calibri" w:cs="Calibri"/>
                <w:sz w:val="21"/>
                <w:szCs w:val="21"/>
                <w:lang w:val="lt-LT" w:eastAsia="lt-LT"/>
              </w:rPr>
              <w:t xml:space="preserve"> priimtus sprendimus dienos, jei VPĮ nenumato reikalavimo raštu informuoti tiekėjus apie </w:t>
            </w:r>
            <w:r>
              <w:rPr>
                <w:rFonts w:ascii="Calibri" w:hAnsi="Calibri" w:eastAsia="Arial" w:cs="Calibri"/>
                <w:sz w:val="21"/>
                <w:szCs w:val="21"/>
                <w:lang w:val="lt-LT" w:eastAsia="lt-LT"/>
              </w:rPr>
              <w:t xml:space="preserve"> perkančiosios organizacijos</w:t>
            </w:r>
            <w:r>
              <w:rPr>
                <w:rFonts w:ascii="Calibri" w:hAnsi="Calibri" w:cs="Calibri"/>
                <w:sz w:val="21"/>
                <w:szCs w:val="21"/>
                <w:lang w:val="lt-LT" w:eastAsia="lt-LT"/>
              </w:rPr>
              <w:t xml:space="preserve"> priimtus sprendimus;</w:t>
            </w:r>
          </w:p>
          <w:p w14:paraId="177183BA">
            <w:pPr>
              <w:jc w:val="both"/>
              <w:rPr>
                <w:rFonts w:ascii="Calibri" w:hAnsi="Calibri" w:cs="Calibri"/>
                <w:sz w:val="21"/>
                <w:szCs w:val="21"/>
                <w:lang w:val="lt-LT" w:eastAsia="lt-LT"/>
              </w:rPr>
            </w:pPr>
            <w:r>
              <w:rPr>
                <w:rFonts w:ascii="Calibri" w:hAnsi="Calibri" w:cs="Calibri"/>
                <w:sz w:val="21"/>
                <w:szCs w:val="21"/>
                <w:lang w:val="lt-LT" w:eastAsia="lt-LT"/>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78D7228D">
            <w:pPr>
              <w:rPr>
                <w:rFonts w:ascii="Calibri" w:hAnsi="Calibri" w:cs="Calibri"/>
                <w:bCs/>
                <w:sz w:val="21"/>
                <w:szCs w:val="21"/>
                <w:lang w:val="lt-LT" w:eastAsia="lt-LT"/>
              </w:rPr>
            </w:pPr>
          </w:p>
        </w:tc>
      </w:tr>
      <w:tr w14:paraId="2FAED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18420F62">
            <w:pPr>
              <w:numPr>
                <w:ilvl w:val="0"/>
                <w:numId w:val="9"/>
              </w:numPr>
              <w:spacing w:after="160" w:line="276" w:lineRule="auto"/>
              <w:contextualSpacing/>
              <w:rPr>
                <w:rFonts w:ascii="Calibri" w:hAnsi="Calibri" w:cs="Calibri"/>
                <w:sz w:val="21"/>
                <w:szCs w:val="21"/>
                <w:lang w:val="lt-LT" w:eastAsia="lt-LT"/>
              </w:rPr>
            </w:pPr>
          </w:p>
        </w:tc>
        <w:tc>
          <w:tcPr>
            <w:tcW w:w="2531" w:type="dxa"/>
            <w:tcMar>
              <w:top w:w="0" w:type="dxa"/>
              <w:left w:w="108" w:type="dxa"/>
              <w:bottom w:w="0" w:type="dxa"/>
              <w:right w:w="108" w:type="dxa"/>
            </w:tcMar>
          </w:tcPr>
          <w:p w14:paraId="3954D960">
            <w:pPr>
              <w:rPr>
                <w:rFonts w:ascii="Calibri" w:hAnsi="Calibri" w:cs="Calibri"/>
                <w:sz w:val="21"/>
                <w:szCs w:val="21"/>
                <w:lang w:val="lt-LT" w:eastAsia="lt-LT"/>
              </w:rPr>
            </w:pPr>
            <w:r>
              <w:rPr>
                <w:rFonts w:ascii="Calibri" w:hAnsi="Calibri" w:cs="Calibri"/>
                <w:sz w:val="21"/>
                <w:szCs w:val="21"/>
                <w:lang w:val="lt-LT" w:eastAsia="lt-LT"/>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07240940">
            <w:pPr>
              <w:rPr>
                <w:rFonts w:ascii="Calibri" w:hAnsi="Calibri" w:cs="Calibri"/>
                <w:sz w:val="21"/>
                <w:szCs w:val="21"/>
                <w:lang w:val="lt-LT" w:eastAsia="lt-LT"/>
              </w:rPr>
            </w:pPr>
            <w:r>
              <w:rPr>
                <w:rFonts w:ascii="Calibri" w:hAnsi="Calibri" w:cs="Calibri"/>
                <w:sz w:val="21"/>
                <w:szCs w:val="21"/>
                <w:lang w:val="lt-LT" w:eastAsia="lt-LT"/>
              </w:rPr>
              <w:t>6 (šešias) darbo dienas nuo pretenzijos gavimo dienos</w:t>
            </w:r>
          </w:p>
        </w:tc>
        <w:tc>
          <w:tcPr>
            <w:tcW w:w="2954" w:type="dxa"/>
            <w:tcMar>
              <w:top w:w="0" w:type="dxa"/>
              <w:left w:w="108" w:type="dxa"/>
              <w:bottom w:w="0" w:type="dxa"/>
              <w:right w:w="108" w:type="dxa"/>
            </w:tcMar>
          </w:tcPr>
          <w:p w14:paraId="0C8399C5">
            <w:pPr>
              <w:rPr>
                <w:rFonts w:ascii="Calibri" w:hAnsi="Calibri" w:cs="Calibri"/>
                <w:sz w:val="21"/>
                <w:szCs w:val="21"/>
                <w:lang w:val="lt-LT" w:eastAsia="lt-LT"/>
              </w:rPr>
            </w:pPr>
          </w:p>
        </w:tc>
      </w:tr>
      <w:tr w14:paraId="19F1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60DE2543">
            <w:pPr>
              <w:numPr>
                <w:ilvl w:val="0"/>
                <w:numId w:val="9"/>
              </w:numPr>
              <w:spacing w:after="160" w:line="276" w:lineRule="auto"/>
              <w:contextualSpacing/>
              <w:rPr>
                <w:rFonts w:ascii="Calibri" w:hAnsi="Calibri" w:cs="Calibri"/>
                <w:bCs/>
                <w:sz w:val="21"/>
                <w:szCs w:val="21"/>
                <w:lang w:val="lt-LT" w:eastAsia="lt-LT"/>
              </w:rPr>
            </w:pPr>
          </w:p>
        </w:tc>
        <w:tc>
          <w:tcPr>
            <w:tcW w:w="2531" w:type="dxa"/>
            <w:tcMar>
              <w:top w:w="0" w:type="dxa"/>
              <w:left w:w="108" w:type="dxa"/>
              <w:bottom w:w="0" w:type="dxa"/>
              <w:right w:w="108" w:type="dxa"/>
            </w:tcMar>
          </w:tcPr>
          <w:p w14:paraId="45485567">
            <w:pPr>
              <w:rPr>
                <w:rFonts w:ascii="Calibri" w:hAnsi="Calibri" w:cs="Calibri"/>
                <w:bCs/>
                <w:sz w:val="21"/>
                <w:szCs w:val="21"/>
                <w:lang w:val="lt-LT" w:eastAsia="lt-LT"/>
              </w:rPr>
            </w:pPr>
            <w:r>
              <w:rPr>
                <w:rFonts w:ascii="Calibri" w:hAnsi="Calibri" w:cs="Calibri"/>
                <w:sz w:val="21"/>
                <w:szCs w:val="21"/>
                <w:lang w:val="lt-LT" w:eastAsia="lt-LT"/>
              </w:rPr>
              <w:t>Jeigu perkančioji organizacija per nustatytą terminą neišnagrinėja jai pateiktos pretenzijos, tiekėjas turi teisę pateikti prašymą ar pareikšti ieškinį teismui per</w:t>
            </w:r>
            <w:r>
              <w:rPr>
                <w:rFonts w:ascii="Calibri" w:hAnsi="Calibri" w:cs="Calibri"/>
                <w:bCs/>
                <w:sz w:val="21"/>
                <w:szCs w:val="21"/>
                <w:lang w:val="lt-LT" w:eastAsia="lt-LT"/>
              </w:rPr>
              <w:t xml:space="preserve"> (išskyrus ieškinį dėl sutarties pripažinimo negaliojančia) </w:t>
            </w:r>
          </w:p>
        </w:tc>
        <w:tc>
          <w:tcPr>
            <w:tcW w:w="3643" w:type="dxa"/>
            <w:tcMar>
              <w:top w:w="0" w:type="dxa"/>
              <w:left w:w="108" w:type="dxa"/>
              <w:bottom w:w="0" w:type="dxa"/>
              <w:right w:w="108" w:type="dxa"/>
            </w:tcMar>
          </w:tcPr>
          <w:p w14:paraId="03013700">
            <w:pPr>
              <w:rPr>
                <w:rFonts w:ascii="Calibri" w:hAnsi="Calibri" w:cs="Calibri"/>
                <w:sz w:val="21"/>
                <w:szCs w:val="21"/>
                <w:lang w:val="lt-LT" w:eastAsia="lt-LT"/>
              </w:rPr>
            </w:pPr>
            <w:r>
              <w:rPr>
                <w:rFonts w:ascii="Calibri" w:hAnsi="Calibri" w:cs="Calibri"/>
                <w:sz w:val="21"/>
                <w:szCs w:val="21"/>
                <w:lang w:val="lt-LT" w:eastAsia="lt-LT"/>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60A7A1A9">
            <w:pPr>
              <w:rPr>
                <w:rFonts w:ascii="Calibri" w:hAnsi="Calibri" w:cs="Calibri"/>
                <w:sz w:val="21"/>
                <w:szCs w:val="21"/>
                <w:lang w:val="lt-LT" w:eastAsia="lt-LT"/>
              </w:rPr>
            </w:pPr>
          </w:p>
        </w:tc>
      </w:tr>
      <w:tr w14:paraId="044FC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6B49F85C">
            <w:pPr>
              <w:numPr>
                <w:ilvl w:val="0"/>
                <w:numId w:val="9"/>
              </w:numPr>
              <w:spacing w:after="160" w:line="276" w:lineRule="auto"/>
              <w:contextualSpacing/>
              <w:rPr>
                <w:rFonts w:ascii="Calibri" w:hAnsi="Calibri" w:cs="Calibri"/>
                <w:sz w:val="21"/>
                <w:szCs w:val="21"/>
                <w:lang w:val="lt-LT" w:eastAsia="lt-LT"/>
              </w:rPr>
            </w:pPr>
          </w:p>
        </w:tc>
        <w:tc>
          <w:tcPr>
            <w:tcW w:w="2531" w:type="dxa"/>
            <w:tcMar>
              <w:top w:w="0" w:type="dxa"/>
              <w:left w:w="108" w:type="dxa"/>
              <w:bottom w:w="0" w:type="dxa"/>
              <w:right w:w="108" w:type="dxa"/>
            </w:tcMar>
          </w:tcPr>
          <w:p w14:paraId="0FC9D99C">
            <w:pPr>
              <w:rPr>
                <w:rFonts w:ascii="Calibri" w:hAnsi="Calibri" w:cs="Calibri"/>
                <w:sz w:val="21"/>
                <w:szCs w:val="21"/>
                <w:lang w:val="lt-LT" w:eastAsia="lt-LT"/>
              </w:rPr>
            </w:pPr>
            <w:r>
              <w:rPr>
                <w:rFonts w:ascii="Calibri" w:hAnsi="Calibri" w:cs="Calibri"/>
                <w:sz w:val="21"/>
                <w:szCs w:val="21"/>
                <w:lang w:val="lt-LT" w:eastAsia="lt-LT"/>
              </w:rPr>
              <w:t>Perkančioji organizacija negali sudaryti sutarties anksčiau kaip po</w:t>
            </w:r>
          </w:p>
        </w:tc>
        <w:tc>
          <w:tcPr>
            <w:tcW w:w="3643" w:type="dxa"/>
            <w:tcMar>
              <w:top w:w="0" w:type="dxa"/>
              <w:left w:w="108" w:type="dxa"/>
              <w:bottom w:w="0" w:type="dxa"/>
              <w:right w:w="108" w:type="dxa"/>
            </w:tcMar>
          </w:tcPr>
          <w:p w14:paraId="7CB2DDD6">
            <w:pPr>
              <w:rPr>
                <w:rFonts w:ascii="Calibri" w:hAnsi="Calibri" w:cs="Calibri"/>
                <w:sz w:val="21"/>
                <w:szCs w:val="21"/>
                <w:lang w:val="lt-LT" w:eastAsia="lt-LT"/>
              </w:rPr>
            </w:pPr>
            <w:r>
              <w:rPr>
                <w:rFonts w:ascii="Calibri" w:hAnsi="Calibri" w:cs="Calibri"/>
                <w:bCs/>
                <w:sz w:val="21"/>
                <w:szCs w:val="21"/>
                <w:lang w:val="lt-LT" w:eastAsia="lt-LT"/>
              </w:rPr>
              <w:t>10 (dešimt) dienų,</w:t>
            </w:r>
            <w:r>
              <w:rPr>
                <w:rFonts w:ascii="Calibri" w:hAnsi="Calibri" w:cs="Calibri"/>
                <w:sz w:val="21"/>
                <w:szCs w:val="21"/>
                <w:lang w:val="lt-LT" w:eastAsia="lt-LT"/>
              </w:rPr>
              <w:t xml:space="preserve"> nuo pranešimo apie sprendimą sudaryti sutartį (o jei buvo gauta pretenzija – </w:t>
            </w:r>
            <w:r>
              <w:rPr>
                <w:rFonts w:ascii="Calibri" w:hAnsi="Calibri"/>
                <w:sz w:val="21"/>
                <w:szCs w:val="21"/>
                <w:lang w:val="lt-LT" w:eastAsia="lt-LT"/>
              </w:rPr>
              <w:t xml:space="preserve">nuo pranešimo raštu apie jos priimtą sprendimą </w:t>
            </w:r>
            <w:r>
              <w:rPr>
                <w:rFonts w:ascii="Calibri" w:hAnsi="Calibri" w:cs="Calibri"/>
                <w:sz w:val="21"/>
                <w:szCs w:val="21"/>
                <w:lang w:val="lt-LT" w:eastAsia="lt-LT"/>
              </w:rPr>
              <w:t>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74F55F23">
            <w:pPr>
              <w:rPr>
                <w:rFonts w:ascii="Calibri" w:hAnsi="Calibri" w:cs="Calibri"/>
                <w:sz w:val="21"/>
                <w:szCs w:val="21"/>
                <w:lang w:val="lt-LT" w:eastAsia="lt-LT"/>
              </w:rPr>
            </w:pPr>
          </w:p>
        </w:tc>
      </w:tr>
      <w:tr w14:paraId="517B2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0" w:hRule="atLeast"/>
        </w:trPr>
        <w:tc>
          <w:tcPr>
            <w:tcW w:w="726" w:type="dxa"/>
            <w:tcMar>
              <w:top w:w="0" w:type="dxa"/>
              <w:left w:w="108" w:type="dxa"/>
              <w:bottom w:w="0" w:type="dxa"/>
              <w:right w:w="108" w:type="dxa"/>
            </w:tcMar>
          </w:tcPr>
          <w:p w14:paraId="0295A8B5">
            <w:pPr>
              <w:numPr>
                <w:ilvl w:val="0"/>
                <w:numId w:val="9"/>
              </w:numPr>
              <w:spacing w:after="160" w:line="276" w:lineRule="auto"/>
              <w:contextualSpacing/>
              <w:rPr>
                <w:rFonts w:ascii="Calibri" w:hAnsi="Calibri" w:cs="Calibri"/>
                <w:sz w:val="21"/>
                <w:szCs w:val="21"/>
                <w:lang w:val="lt-LT" w:eastAsia="lt-LT"/>
              </w:rPr>
            </w:pPr>
          </w:p>
        </w:tc>
        <w:tc>
          <w:tcPr>
            <w:tcW w:w="2531" w:type="dxa"/>
            <w:tcMar>
              <w:top w:w="0" w:type="dxa"/>
              <w:left w:w="108" w:type="dxa"/>
              <w:bottom w:w="0" w:type="dxa"/>
              <w:right w:w="108" w:type="dxa"/>
            </w:tcMar>
          </w:tcPr>
          <w:p w14:paraId="4275E771">
            <w:pPr>
              <w:rPr>
                <w:rFonts w:ascii="Calibri" w:hAnsi="Calibri" w:cs="Calibri"/>
                <w:sz w:val="21"/>
                <w:szCs w:val="21"/>
                <w:lang w:val="lt-LT" w:eastAsia="lt-LT"/>
              </w:rPr>
            </w:pPr>
            <w:r>
              <w:rPr>
                <w:rFonts w:ascii="Calibri" w:hAnsi="Calibri" w:cs="Calibri"/>
                <w:sz w:val="21"/>
                <w:szCs w:val="21"/>
                <w:lang w:val="lt-LT" w:eastAsia="lt-LT"/>
              </w:rPr>
              <w:t xml:space="preserve">Jeigu </w:t>
            </w:r>
            <w:r>
              <w:rPr>
                <w:rFonts w:ascii="Calibri" w:hAnsi="Calibri"/>
                <w:iCs/>
                <w:sz w:val="21"/>
                <w:szCs w:val="21"/>
                <w:lang w:val="lt-LT" w:eastAsia="lt-LT"/>
              </w:rPr>
              <w:t>suinteresuotas dalyvis paprašys perkančiosios organizacijos pateikti laimėjusį pasiūlymą</w:t>
            </w:r>
          </w:p>
        </w:tc>
        <w:tc>
          <w:tcPr>
            <w:tcW w:w="3643" w:type="dxa"/>
            <w:tcMar>
              <w:top w:w="0" w:type="dxa"/>
              <w:left w:w="108" w:type="dxa"/>
              <w:bottom w:w="0" w:type="dxa"/>
              <w:right w:w="108" w:type="dxa"/>
            </w:tcMar>
          </w:tcPr>
          <w:p w14:paraId="403CC307">
            <w:pPr>
              <w:jc w:val="both"/>
              <w:rPr>
                <w:rFonts w:ascii="Calibri" w:hAnsi="Calibri" w:cs="Calibri"/>
                <w:i/>
                <w:iCs/>
                <w:sz w:val="21"/>
                <w:szCs w:val="21"/>
                <w:lang w:val="lt-LT" w:eastAsia="lt-LT"/>
              </w:rPr>
            </w:pPr>
            <w:r>
              <w:rPr>
                <w:rFonts w:ascii="Calibri" w:hAnsi="Calibri" w:cs="Calibri"/>
                <w:i/>
                <w:iCs/>
                <w:sz w:val="21"/>
                <w:szCs w:val="21"/>
                <w:lang w:val="lt-LT" w:eastAsia="lt-LT"/>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7612C060">
            <w:pPr>
              <w:jc w:val="both"/>
              <w:rPr>
                <w:rFonts w:ascii="Calibri" w:hAnsi="Calibri" w:cs="Calibri"/>
                <w:i/>
                <w:iCs/>
                <w:color w:val="FF0000"/>
                <w:sz w:val="21"/>
                <w:szCs w:val="21"/>
                <w:lang w:val="lt-LT" w:eastAsia="lt-LT"/>
              </w:rPr>
            </w:pPr>
          </w:p>
        </w:tc>
        <w:tc>
          <w:tcPr>
            <w:tcW w:w="2954" w:type="dxa"/>
            <w:tcMar>
              <w:top w:w="0" w:type="dxa"/>
              <w:left w:w="108" w:type="dxa"/>
              <w:bottom w:w="0" w:type="dxa"/>
              <w:right w:w="108" w:type="dxa"/>
            </w:tcMar>
          </w:tcPr>
          <w:p w14:paraId="486B251A">
            <w:pPr>
              <w:rPr>
                <w:rFonts w:ascii="Calibri" w:hAnsi="Calibri" w:cs="Calibri"/>
                <w:sz w:val="21"/>
                <w:szCs w:val="21"/>
                <w:lang w:val="lt-LT" w:eastAsia="lt-LT"/>
              </w:rPr>
            </w:pPr>
          </w:p>
        </w:tc>
      </w:tr>
    </w:tbl>
    <w:p w14:paraId="7C37C65D">
      <w:pPr>
        <w:tabs>
          <w:tab w:val="left" w:pos="2977"/>
        </w:tabs>
        <w:spacing w:after="120" w:line="20" w:lineRule="atLeast"/>
        <w:jc w:val="center"/>
        <w:rPr>
          <w:rFonts w:ascii="Calibri" w:hAnsi="Calibri" w:eastAsia="Calibri" w:cs="Calibri"/>
          <w:sz w:val="21"/>
          <w:szCs w:val="21"/>
          <w:lang w:val="lt-LT" w:eastAsia="lt-LT"/>
        </w:rPr>
      </w:pPr>
    </w:p>
    <w:p w14:paraId="02C1D440">
      <w:pPr>
        <w:spacing w:after="160" w:line="276" w:lineRule="auto"/>
        <w:rPr>
          <w:rFonts w:ascii="Calibri" w:hAnsi="Calibri" w:eastAsia="Calibri" w:cs="Calibri"/>
          <w:sz w:val="21"/>
          <w:szCs w:val="21"/>
          <w:lang w:val="lt-LT" w:eastAsia="lt-LT"/>
        </w:rPr>
      </w:pPr>
      <w:r>
        <w:rPr>
          <w:rFonts w:ascii="Calibri" w:hAnsi="Calibri" w:eastAsia="Calibri" w:cs="Calibri"/>
          <w:sz w:val="21"/>
          <w:szCs w:val="21"/>
          <w:lang w:val="lt-LT" w:eastAsia="lt-LT"/>
        </w:rPr>
        <w:br w:type="page"/>
      </w:r>
    </w:p>
    <w:p w14:paraId="70C6516B">
      <w:pPr>
        <w:keepNext/>
        <w:keepLines/>
        <w:pBdr>
          <w:top w:val="none" w:color="000000" w:sz="0" w:space="0"/>
          <w:left w:val="none" w:color="000000" w:sz="0" w:space="0"/>
          <w:bottom w:val="none" w:color="000000" w:sz="0" w:space="0"/>
          <w:right w:val="none" w:color="000000" w:sz="0" w:space="0"/>
          <w:between w:val="none" w:color="000000" w:sz="0" w:space="0"/>
        </w:pBdr>
        <w:spacing w:before="360" w:after="80"/>
        <w:jc w:val="center"/>
        <w:rPr>
          <w:color w:val="000000"/>
        </w:rPr>
      </w:pPr>
    </w:p>
    <w:p w14:paraId="00000067">
      <w:pPr>
        <w:pBdr>
          <w:top w:val="none" w:color="000000" w:sz="0" w:space="0"/>
          <w:left w:val="none" w:color="000000" w:sz="0" w:space="0"/>
          <w:bottom w:val="none" w:color="000000" w:sz="0" w:space="0"/>
          <w:right w:val="none" w:color="000000" w:sz="0" w:space="0"/>
          <w:between w:val="none" w:color="000000" w:sz="0" w:space="0"/>
        </w:pBdr>
        <w:shd w:val="clear" w:color="auto" w:fill="FFFFFF"/>
        <w:jc w:val="right"/>
        <w:rPr>
          <w:color w:val="0070C0"/>
        </w:rPr>
      </w:pPr>
    </w:p>
    <w:p w14:paraId="000000B1">
      <w:pPr>
        <w:keepNext/>
        <w:keepLines/>
        <w:pBdr>
          <w:top w:val="none" w:color="000000" w:sz="0" w:space="0"/>
          <w:left w:val="none" w:color="000000" w:sz="0" w:space="0"/>
          <w:bottom w:val="none" w:color="000000" w:sz="0" w:space="0"/>
          <w:right w:val="none" w:color="000000" w:sz="0" w:space="0"/>
          <w:between w:val="none" w:color="000000" w:sz="0" w:space="0"/>
        </w:pBdr>
        <w:spacing w:before="160" w:after="80"/>
        <w:ind w:left="5103"/>
        <w:rPr>
          <w:color w:val="000000"/>
        </w:rPr>
      </w:pPr>
      <w:bookmarkStart w:id="15" w:name="_heading=h.b1aaxrtieaba" w:colFirst="0" w:colLast="0"/>
      <w:bookmarkEnd w:id="15"/>
      <w:r>
        <w:rPr>
          <w:color w:val="000000"/>
        </w:rPr>
        <w:t>Pirkimo sąlygų 2 priedas „Techninė specifikacija“</w:t>
      </w:r>
    </w:p>
    <w:p w14:paraId="0000030E">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BD4B4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
          <w:color w:val="000000"/>
          <w:lang w:val="lt-LT"/>
        </w:rPr>
      </w:pPr>
      <w:bookmarkStart w:id="16" w:name="_heading=h.ki7s4xp0vpsx" w:colFirst="0" w:colLast="0"/>
      <w:bookmarkEnd w:id="16"/>
    </w:p>
    <w:p w14:paraId="78FD10A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center"/>
        <w:rPr>
          <w:b/>
          <w:color w:val="000000"/>
          <w:lang w:val="lt-LT"/>
        </w:rPr>
      </w:pPr>
      <w:r>
        <w:rPr>
          <w:b/>
          <w:color w:val="000000"/>
          <w:lang w:val="lt-LT"/>
        </w:rPr>
        <w:t>TRANSPORTO PRIEMONIŲ (</w:t>
      </w:r>
      <w:r>
        <w:rPr>
          <w:rFonts w:hint="default"/>
          <w:b/>
          <w:color w:val="000000"/>
          <w:lang w:val="en-US"/>
        </w:rPr>
        <w:t>PRIEMIESTINIO</w:t>
      </w:r>
      <w:r>
        <w:rPr>
          <w:b/>
          <w:color w:val="000000"/>
          <w:lang w:val="lt-LT"/>
        </w:rPr>
        <w:t xml:space="preserve"> TIPO AUTOBUSŲ) PIRKIMO</w:t>
      </w:r>
    </w:p>
    <w:p w14:paraId="76F0029C">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center"/>
        <w:rPr>
          <w:b/>
          <w:color w:val="000000"/>
          <w:lang w:val="lt-LT"/>
        </w:rPr>
      </w:pPr>
      <w:r>
        <w:rPr>
          <w:b/>
          <w:color w:val="000000"/>
          <w:lang w:val="lt-LT"/>
        </w:rPr>
        <w:t>TECHNINĖ SPECIFIKACIJA</w:t>
      </w:r>
    </w:p>
    <w:p w14:paraId="70A1055E">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
          <w:color w:val="000000"/>
          <w:lang w:val="lt-LT"/>
        </w:rPr>
      </w:pPr>
    </w:p>
    <w:p w14:paraId="6C57DA29">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 Bendroji dalis:</w:t>
      </w:r>
    </w:p>
    <w:p w14:paraId="01595035">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1.1. Pirkimo objektas – </w:t>
      </w:r>
      <w:r>
        <w:rPr>
          <w:rFonts w:hint="default"/>
          <w:bCs/>
          <w:color w:val="000000"/>
          <w:lang w:val="en-US"/>
        </w:rPr>
        <w:t xml:space="preserve">1 pirkimo dalis nenauji (naudoti) </w:t>
      </w:r>
      <w:r>
        <w:rPr>
          <w:bCs/>
          <w:color w:val="000000"/>
          <w:lang w:val="lt-LT"/>
        </w:rPr>
        <w:t>3 vnt. keleivini</w:t>
      </w:r>
      <w:r>
        <w:rPr>
          <w:rFonts w:hint="default"/>
          <w:bCs/>
          <w:color w:val="000000"/>
          <w:lang w:val="en-US"/>
        </w:rPr>
        <w:t>ai</w:t>
      </w:r>
      <w:r>
        <w:rPr>
          <w:bCs/>
          <w:color w:val="000000"/>
          <w:lang w:val="lt-LT"/>
        </w:rPr>
        <w:t>, vienaaukščio, priemiestinio</w:t>
      </w:r>
      <w:r>
        <w:rPr>
          <w:rFonts w:hint="default"/>
          <w:bCs/>
          <w:color w:val="000000"/>
          <w:lang w:val="en-US"/>
        </w:rPr>
        <w:t xml:space="preserve"> (tarpmiestinio) </w:t>
      </w:r>
      <w:r>
        <w:rPr>
          <w:bCs/>
          <w:color w:val="000000"/>
          <w:lang w:val="lt-LT"/>
        </w:rPr>
        <w:t>tipo, dviaši</w:t>
      </w:r>
      <w:r>
        <w:rPr>
          <w:rFonts w:hint="default"/>
          <w:bCs/>
          <w:color w:val="000000"/>
          <w:lang w:val="en-US"/>
        </w:rPr>
        <w:t>ai</w:t>
      </w:r>
      <w:r>
        <w:rPr>
          <w:bCs/>
          <w:color w:val="000000"/>
          <w:lang w:val="lt-LT"/>
        </w:rPr>
        <w:t xml:space="preserve"> autobus</w:t>
      </w:r>
      <w:r>
        <w:rPr>
          <w:rFonts w:hint="default"/>
          <w:bCs/>
          <w:color w:val="000000"/>
          <w:lang w:val="en-US"/>
        </w:rPr>
        <w:t>ai</w:t>
      </w:r>
      <w:r>
        <w:rPr>
          <w:bCs/>
          <w:color w:val="000000"/>
          <w:lang w:val="lt-LT"/>
        </w:rPr>
        <w:t xml:space="preserve"> (transporto priemonės kodas M3CE), varom</w:t>
      </w:r>
      <w:r>
        <w:rPr>
          <w:rFonts w:hint="default"/>
          <w:bCs/>
          <w:color w:val="000000"/>
          <w:lang w:val="en-US"/>
        </w:rPr>
        <w:t>i</w:t>
      </w:r>
      <w:r>
        <w:rPr>
          <w:bCs/>
          <w:color w:val="000000"/>
          <w:lang w:val="lt-LT"/>
        </w:rPr>
        <w:t xml:space="preserve"> dyzelinu (toliau – Transporto priemonės, Prekės)</w:t>
      </w:r>
      <w:r>
        <w:rPr>
          <w:rFonts w:hint="default"/>
          <w:bCs/>
          <w:color w:val="000000"/>
          <w:lang w:val="en-US"/>
        </w:rPr>
        <w:t>.</w:t>
      </w:r>
      <w:r>
        <w:rPr>
          <w:bCs/>
          <w:color w:val="000000"/>
          <w:lang w:val="lt-LT"/>
        </w:rPr>
        <w:t xml:space="preserve"> </w:t>
      </w:r>
    </w:p>
    <w:p w14:paraId="5A66B7B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1.2. Transporto priemonė turi būti pagaminta ne anksčiau kaip 2016 m.</w:t>
      </w:r>
    </w:p>
    <w:p w14:paraId="31A3366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1.3. Transporto priemonės rida negali būti didesnis kaip 400 000 km.</w:t>
      </w:r>
    </w:p>
    <w:p w14:paraId="5D6C19C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1.4. Transporto priemonei turi būti suteikiama ne trumpesnė kaip 3 mėn. arba 5000 km ridos garantija pagrindiniams agregatams (varikliui, pavarų dėžei, retarderiui). Tiekėjas įsipareigoja 6 mėn. arba iki kol bus pravažiuota 20000 km. nuo Prek</w:t>
      </w:r>
      <w:r>
        <w:rPr>
          <w:rFonts w:hint="default"/>
          <w:bCs/>
          <w:color w:val="000000"/>
          <w:lang w:val="en-US"/>
        </w:rPr>
        <w:t>ių</w:t>
      </w:r>
      <w:r>
        <w:rPr>
          <w:bCs/>
          <w:color w:val="000000"/>
          <w:lang w:val="lt-LT"/>
        </w:rPr>
        <w:t xml:space="preserve"> priėmimo – perdavimo akto pasirašymo dienos atlikti visus garantinius remontus.</w:t>
      </w:r>
    </w:p>
    <w:p w14:paraId="17262F9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1.5. Transporto priemonė tiekėjo sąskaita turės būti pristatyta Bažnyčios g. 21, Nemenčinė, Vilniaus r. sav. </w:t>
      </w:r>
    </w:p>
    <w:p w14:paraId="2EFC0866">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rFonts w:hint="default"/>
          <w:bCs/>
          <w:color w:val="000000"/>
          <w:lang w:val="en-US"/>
        </w:rPr>
      </w:pPr>
      <w:r>
        <w:rPr>
          <w:bCs/>
          <w:color w:val="000000"/>
          <w:lang w:val="lt-LT"/>
        </w:rPr>
        <w:t>1.6. Pristatyta Transporto priemonė turi būti užregistruota AB „Regitra“</w:t>
      </w:r>
      <w:r>
        <w:rPr>
          <w:rFonts w:hint="default"/>
          <w:bCs/>
          <w:color w:val="000000"/>
          <w:lang w:val="en-US"/>
        </w:rPr>
        <w:t xml:space="preserve"> ir turėti bent 1 mėn. trukmės privalomajį civilinės atsakomybės draudimą.</w:t>
      </w:r>
    </w:p>
    <w:p w14:paraId="15DAFD69">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1.7. Siūloma Transporto priemonė turi būti tinkama vežti keleivius, neiškomplektuota, atitinkanti techninėse sąlygose keliamus reikalavimus. Prekės techninė būklė turi užtikrinti saugią jos eksploatacijos pradžią iškart po pristatymo Perkančiajam subjektui, neatliekant jokių remonto ar aptarnavimo darbų.</w:t>
      </w:r>
    </w:p>
    <w:p w14:paraId="0D385C25">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1.8. Perkančiajam subjektui išreiškus pageidavimą, Tiekėjai privalo sudaryti galimybę jos atstovams savo lėšomis apžiūrėti siūlomą Prekę ir įvertinti jos techninę, estetinę būklę bei jos atitikimą pasiūlymuose pateiktiems aprašymams.</w:t>
      </w:r>
    </w:p>
    <w:p w14:paraId="4633B75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1.9. Transporto priemonė Perkančiajam subjektui kartu su pirkimo sąlygų priede Nr. </w:t>
      </w:r>
      <w:r>
        <w:rPr>
          <w:rFonts w:hint="default"/>
          <w:bCs/>
          <w:color w:val="000000"/>
          <w:lang w:val="en-US"/>
        </w:rPr>
        <w:t>2</w:t>
      </w:r>
      <w:r>
        <w:rPr>
          <w:bCs/>
          <w:color w:val="000000"/>
          <w:lang w:val="lt-LT"/>
        </w:rPr>
        <w:t xml:space="preserve"> Techninė specifikacija nurodyta  įranga turi būti perduota ne vėliau kaip per 3 mėnesius nuo sutarties įsigaliojimo dienos, šios dienos neskaičiuojant. </w:t>
      </w:r>
    </w:p>
    <w:p w14:paraId="490DF593">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1.10. Galutinį atsiskaitymą už Prekę, t. y. likusią 80% sutarties vertės dalį, Perkančioji organizacija sumoka  pasirašius galutinį Prekės</w:t>
      </w:r>
      <w:r>
        <w:rPr>
          <w:rFonts w:hint="default"/>
          <w:bCs/>
          <w:color w:val="000000"/>
          <w:lang w:val="en-US"/>
        </w:rPr>
        <w:t xml:space="preserve"> (-ių)</w:t>
      </w:r>
      <w:r>
        <w:rPr>
          <w:bCs/>
          <w:color w:val="000000"/>
          <w:lang w:val="lt-LT"/>
        </w:rPr>
        <w:t xml:space="preserve"> priėmimo – perdavimo aktą, t. y. kai Tiekėjas pilnai įdiegia Specifikacijoje numatytą įrangą bei užtikrina jos tinkamą veikimą.</w:t>
      </w:r>
    </w:p>
    <w:p w14:paraId="3792E83D">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u w:val="single"/>
          <w:lang w:val="lt-LT"/>
        </w:rPr>
        <w:t>1.1</w:t>
      </w:r>
      <w:r>
        <w:rPr>
          <w:rFonts w:hint="default"/>
          <w:bCs/>
          <w:color w:val="000000"/>
          <w:u w:val="single"/>
          <w:lang w:val="en-US"/>
        </w:rPr>
        <w:t>1</w:t>
      </w:r>
      <w:r>
        <w:rPr>
          <w:bCs/>
          <w:color w:val="000000"/>
          <w:u w:val="single"/>
          <w:lang w:val="lt-LT"/>
        </w:rPr>
        <w:t>. Perkamai Transporto priemonei taikomi aplinkosauginiai reikalavimai, t. y.</w:t>
      </w:r>
      <w:r>
        <w:rPr>
          <w:bCs/>
          <w:color w:val="000000"/>
          <w:lang w:val="lt-LT"/>
        </w:rPr>
        <w:t xml:space="preserve"> </w:t>
      </w:r>
      <w:r>
        <w:rPr>
          <w:bCs/>
          <w:color w:val="000000"/>
          <w:u w:val="single"/>
          <w:lang w:val="lt-LT"/>
        </w:rPr>
        <w:t xml:space="preserve">išmetimo dujų emisijos lygis ne mažiau EURO6. Pateikiamas atitikimą patvirtinantis dokumentas </w:t>
      </w:r>
      <w:r>
        <w:rPr>
          <w:rFonts w:hint="default"/>
          <w:bCs/>
          <w:color w:val="000000"/>
          <w:u w:val="single"/>
          <w:lang w:val="en-US"/>
        </w:rPr>
        <w:t xml:space="preserve">kartu </w:t>
      </w:r>
      <w:r>
        <w:rPr>
          <w:bCs/>
          <w:color w:val="000000"/>
          <w:u w:val="single"/>
          <w:lang w:val="lt-LT"/>
        </w:rPr>
        <w:t>su pasiūlymu</w:t>
      </w:r>
      <w:r>
        <w:rPr>
          <w:bCs/>
          <w:i/>
          <w:iCs/>
          <w:color w:val="000000"/>
          <w:u w:val="single"/>
          <w:lang w:val="lt-LT"/>
        </w:rPr>
        <w:t>.</w:t>
      </w:r>
    </w:p>
    <w:p w14:paraId="19E42BD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2. Privalomi techniniai reikalavimai perkamai dviašiai transporto priemonei</w:t>
      </w:r>
      <w:r>
        <w:rPr>
          <w:rFonts w:hint="default"/>
          <w:bCs/>
          <w:color w:val="000000"/>
          <w:lang w:val="en-US"/>
        </w:rPr>
        <w:t xml:space="preserve"> autobusui</w:t>
      </w:r>
      <w:r>
        <w:rPr>
          <w:bCs/>
          <w:color w:val="000000"/>
          <w:lang w:val="lt-LT"/>
        </w:rPr>
        <w:t>:</w:t>
      </w:r>
    </w:p>
    <w:p w14:paraId="61730CCE">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2.1. Tiekėjas iki pristatymo ne vėliau nei 5 darbo dienos turi pateikti visus šiuos reikalavimus pagrindžiančius dokumentus ar Tiekėjo patvirtintas šių dokumentų kopijas.</w:t>
      </w:r>
    </w:p>
    <w:tbl>
      <w:tblPr>
        <w:tblStyle w:val="9"/>
        <w:tblW w:w="9938" w:type="dxa"/>
        <w:jc w:val="center"/>
        <w:tblLayout w:type="fixed"/>
        <w:tblCellMar>
          <w:top w:w="0" w:type="dxa"/>
          <w:left w:w="108" w:type="dxa"/>
          <w:bottom w:w="0" w:type="dxa"/>
          <w:right w:w="108" w:type="dxa"/>
        </w:tblCellMar>
      </w:tblPr>
      <w:tblGrid>
        <w:gridCol w:w="2834"/>
        <w:gridCol w:w="7104"/>
      </w:tblGrid>
      <w:tr w14:paraId="5295D8EB">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5BF2709">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Kiekis </w:t>
            </w:r>
          </w:p>
        </w:tc>
        <w:tc>
          <w:tcPr>
            <w:tcW w:w="7104" w:type="dxa"/>
            <w:tcBorders>
              <w:top w:val="single" w:color="000000" w:sz="4" w:space="0"/>
              <w:left w:val="single" w:color="000000" w:sz="4" w:space="0"/>
              <w:bottom w:val="single" w:color="000000" w:sz="4" w:space="0"/>
              <w:right w:val="single" w:color="000000" w:sz="4" w:space="0"/>
            </w:tcBorders>
            <w:vAlign w:val="center"/>
          </w:tcPr>
          <w:p w14:paraId="614942D5">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3 vnt. </w:t>
            </w:r>
          </w:p>
        </w:tc>
      </w:tr>
      <w:tr w14:paraId="7B7EC0C1">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59AF8CA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 Transporto priemonės tipas</w:t>
            </w:r>
          </w:p>
        </w:tc>
        <w:tc>
          <w:tcPr>
            <w:tcW w:w="7104" w:type="dxa"/>
            <w:tcBorders>
              <w:top w:val="single" w:color="000000" w:sz="4" w:space="0"/>
              <w:left w:val="single" w:color="000000" w:sz="4" w:space="0"/>
              <w:bottom w:val="single" w:color="000000" w:sz="4" w:space="0"/>
              <w:right w:val="single" w:color="000000" w:sz="4" w:space="0"/>
            </w:tcBorders>
            <w:vAlign w:val="center"/>
          </w:tcPr>
          <w:p w14:paraId="3EB3E85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Keleivinis vienaaukštis tarpmiestinio (priemiestinio) tipo autobusas (transporto priemonės kodas M3), naudojantis dyzeliną, sertifikuotas pagal 2001/85/ES direktyvą.</w:t>
            </w:r>
          </w:p>
          <w:p w14:paraId="16E52D3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Autobusai privalo atitikti Techninius motorinių transporto priemonių ir jų priekabų reikalavimus, patvirtintus Valstybinės kelių transporto inspekcijos prie Susisiekimo ministerijos viršininko 2008 m. liepos 29 d. įsakymu Nr. 2B-290 (Žin., 2008, Nr. 88-3550; 2010, Nr. 50-2465).</w:t>
            </w:r>
          </w:p>
          <w:p w14:paraId="710582F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Keleivinio tipo transporto priemonė, skirta vežti keleivius priemiesčio, miesto maršrutais.</w:t>
            </w:r>
          </w:p>
        </w:tc>
      </w:tr>
      <w:tr w14:paraId="0CC87510">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48B5A9C5">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Pirmos registracijos data</w:t>
            </w:r>
          </w:p>
        </w:tc>
        <w:tc>
          <w:tcPr>
            <w:tcW w:w="7104" w:type="dxa"/>
            <w:tcBorders>
              <w:top w:val="single" w:color="000000" w:sz="4" w:space="0"/>
              <w:left w:val="single" w:color="000000" w:sz="4" w:space="0"/>
              <w:bottom w:val="single" w:color="000000" w:sz="4" w:space="0"/>
              <w:right w:val="single" w:color="000000" w:sz="4" w:space="0"/>
            </w:tcBorders>
            <w:vAlign w:val="center"/>
          </w:tcPr>
          <w:p w14:paraId="7C3EB591">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Ne senesnė kaip 2016 m. </w:t>
            </w:r>
          </w:p>
        </w:tc>
      </w:tr>
      <w:tr w14:paraId="3131EC8C">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13FA42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Bendras ilgis</w:t>
            </w:r>
          </w:p>
        </w:tc>
        <w:tc>
          <w:tcPr>
            <w:tcW w:w="7104" w:type="dxa"/>
            <w:tcBorders>
              <w:top w:val="single" w:color="000000" w:sz="4" w:space="0"/>
              <w:left w:val="single" w:color="000000" w:sz="4" w:space="0"/>
              <w:bottom w:val="single" w:color="000000" w:sz="4" w:space="0"/>
              <w:right w:val="single" w:color="000000" w:sz="4" w:space="0"/>
            </w:tcBorders>
            <w:vAlign w:val="center"/>
          </w:tcPr>
          <w:p w14:paraId="018A497D">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Ne daugiau nei 12 300 mm </w:t>
            </w:r>
          </w:p>
        </w:tc>
      </w:tr>
      <w:tr w14:paraId="5358A90B">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634C754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Bendras plotis</w:t>
            </w:r>
          </w:p>
        </w:tc>
        <w:tc>
          <w:tcPr>
            <w:tcW w:w="7104" w:type="dxa"/>
            <w:tcBorders>
              <w:top w:val="single" w:color="000000" w:sz="4" w:space="0"/>
              <w:left w:val="single" w:color="000000" w:sz="4" w:space="0"/>
              <w:bottom w:val="single" w:color="000000" w:sz="4" w:space="0"/>
              <w:right w:val="single" w:color="000000" w:sz="4" w:space="0"/>
            </w:tcBorders>
            <w:vAlign w:val="center"/>
          </w:tcPr>
          <w:p w14:paraId="073D3CF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2500 </w:t>
            </w:r>
            <w:r>
              <w:rPr>
                <w:bCs/>
                <w:color w:val="000000"/>
                <w:lang w:val="en-US"/>
              </w:rPr>
              <w:t>+/-</w:t>
            </w:r>
            <w:r>
              <w:rPr>
                <w:bCs/>
                <w:color w:val="000000"/>
                <w:lang w:val="lt-LT"/>
              </w:rPr>
              <w:t xml:space="preserve"> 500 mm</w:t>
            </w:r>
          </w:p>
        </w:tc>
      </w:tr>
      <w:tr w14:paraId="3FA26A08">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B59F89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Bendras aukštis</w:t>
            </w:r>
          </w:p>
        </w:tc>
        <w:tc>
          <w:tcPr>
            <w:tcW w:w="7104" w:type="dxa"/>
            <w:tcBorders>
              <w:top w:val="single" w:color="000000" w:sz="4" w:space="0"/>
              <w:left w:val="single" w:color="000000" w:sz="4" w:space="0"/>
              <w:bottom w:val="single" w:color="000000" w:sz="4" w:space="0"/>
              <w:right w:val="single" w:color="000000" w:sz="4" w:space="0"/>
            </w:tcBorders>
            <w:vAlign w:val="center"/>
          </w:tcPr>
          <w:p w14:paraId="15A39546">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Ne daugiau 3300 mm </w:t>
            </w:r>
          </w:p>
        </w:tc>
      </w:tr>
      <w:tr w14:paraId="3F5BA669">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EEC070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Maksimali bendroji masė</w:t>
            </w:r>
          </w:p>
        </w:tc>
        <w:tc>
          <w:tcPr>
            <w:tcW w:w="7104" w:type="dxa"/>
            <w:tcBorders>
              <w:top w:val="single" w:color="000000" w:sz="4" w:space="0"/>
              <w:left w:val="single" w:color="000000" w:sz="4" w:space="0"/>
              <w:bottom w:val="single" w:color="000000" w:sz="4" w:space="0"/>
              <w:right w:val="single" w:color="000000" w:sz="4" w:space="0"/>
            </w:tcBorders>
            <w:vAlign w:val="center"/>
          </w:tcPr>
          <w:p w14:paraId="0FD6D2A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Ne daugiau 19000 kg</w:t>
            </w:r>
          </w:p>
        </w:tc>
      </w:tr>
      <w:tr w14:paraId="6C8AF66B">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54CA994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Ašių skaičius</w:t>
            </w:r>
          </w:p>
        </w:tc>
        <w:tc>
          <w:tcPr>
            <w:tcW w:w="7104" w:type="dxa"/>
            <w:tcBorders>
              <w:top w:val="single" w:color="000000" w:sz="4" w:space="0"/>
              <w:left w:val="single" w:color="000000" w:sz="4" w:space="0"/>
              <w:bottom w:val="single" w:color="000000" w:sz="4" w:space="0"/>
              <w:right w:val="single" w:color="000000" w:sz="4" w:space="0"/>
            </w:tcBorders>
            <w:vAlign w:val="center"/>
          </w:tcPr>
          <w:p w14:paraId="7B6854D2">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2 (dvi)</w:t>
            </w:r>
          </w:p>
        </w:tc>
      </w:tr>
      <w:tr w14:paraId="5F6AED4A">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2A1C6A12">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Pervežamų keleivių skaičius</w:t>
            </w:r>
          </w:p>
        </w:tc>
        <w:tc>
          <w:tcPr>
            <w:tcW w:w="7104" w:type="dxa"/>
            <w:tcBorders>
              <w:top w:val="single" w:color="000000" w:sz="4" w:space="0"/>
              <w:left w:val="single" w:color="000000" w:sz="4" w:space="0"/>
              <w:bottom w:val="single" w:color="000000" w:sz="4" w:space="0"/>
              <w:right w:val="single" w:color="000000" w:sz="4" w:space="0"/>
            </w:tcBorders>
            <w:vAlign w:val="center"/>
          </w:tcPr>
          <w:p w14:paraId="1F1E107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Ne mažiau  60</w:t>
            </w:r>
          </w:p>
        </w:tc>
      </w:tr>
      <w:tr w14:paraId="6DDEA138">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241E08F9">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Sėdimų vietų skaičius</w:t>
            </w:r>
          </w:p>
        </w:tc>
        <w:tc>
          <w:tcPr>
            <w:tcW w:w="7104" w:type="dxa"/>
            <w:tcBorders>
              <w:top w:val="single" w:color="000000" w:sz="4" w:space="0"/>
              <w:left w:val="single" w:color="000000" w:sz="4" w:space="0"/>
              <w:bottom w:val="single" w:color="000000" w:sz="4" w:space="0"/>
              <w:right w:val="single" w:color="000000" w:sz="4" w:space="0"/>
            </w:tcBorders>
            <w:vAlign w:val="center"/>
          </w:tcPr>
          <w:p w14:paraId="2F4B112C">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Ne mažiau 45 (neskaitant vairuotojo sėdynės)</w:t>
            </w:r>
          </w:p>
        </w:tc>
      </w:tr>
      <w:tr w14:paraId="1D13F3F4">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0DBD230">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Skirtas žmonėms su negalia</w:t>
            </w:r>
          </w:p>
        </w:tc>
        <w:tc>
          <w:tcPr>
            <w:tcW w:w="7104" w:type="dxa"/>
            <w:tcBorders>
              <w:top w:val="single" w:color="000000" w:sz="4" w:space="0"/>
              <w:left w:val="single" w:color="000000" w:sz="4" w:space="0"/>
              <w:bottom w:val="single" w:color="000000" w:sz="4" w:space="0"/>
              <w:right w:val="single" w:color="000000" w:sz="4" w:space="0"/>
            </w:tcBorders>
            <w:vAlign w:val="center"/>
          </w:tcPr>
          <w:p w14:paraId="5C1B4431">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en-US"/>
              </w:rPr>
            </w:pPr>
            <w:r>
              <w:rPr>
                <w:bCs/>
                <w:color w:val="000000"/>
                <w:lang w:val="lt-LT"/>
              </w:rPr>
              <w:t>Neįgaliųjų keltuvas ties antromis autobuso durimis. Neįgaliųjų vežimėlio aikštelė su laikikliais autobuso salone kairėje pusėje.</w:t>
            </w:r>
          </w:p>
        </w:tc>
      </w:tr>
      <w:tr w14:paraId="60A403F3">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21829D8D">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2. Vairuotojo vieta </w:t>
            </w:r>
          </w:p>
        </w:tc>
        <w:tc>
          <w:tcPr>
            <w:tcW w:w="7104" w:type="dxa"/>
            <w:tcBorders>
              <w:top w:val="single" w:color="000000" w:sz="4" w:space="0"/>
              <w:left w:val="single" w:color="000000" w:sz="4" w:space="0"/>
              <w:bottom w:val="single" w:color="000000" w:sz="4" w:space="0"/>
              <w:right w:val="single" w:color="000000" w:sz="4" w:space="0"/>
            </w:tcBorders>
            <w:vAlign w:val="center"/>
          </w:tcPr>
          <w:p w14:paraId="2AE2EFC2">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Vairuotojo vieta atskirta nuo keleivių;</w:t>
            </w:r>
          </w:p>
          <w:p w14:paraId="5F14AE8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Vairuotojo sėdynė: orinė pakaba, šildoma, mechaniškai reguliuojama, reguliuojamas sėdynės atlošas;</w:t>
            </w:r>
          </w:p>
          <w:p w14:paraId="37787511">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Daiktadėžė;</w:t>
            </w:r>
          </w:p>
          <w:p w14:paraId="232FE8F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Mikrofonas - privalomas;</w:t>
            </w:r>
          </w:p>
          <w:p w14:paraId="000912C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Garsiakalbis vairuotojo darbo vietoje.</w:t>
            </w:r>
          </w:p>
          <w:p w14:paraId="7721A42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p>
        </w:tc>
      </w:tr>
      <w:tr w14:paraId="2999920C">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F387259">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3.Avariniai išėjimai</w:t>
            </w:r>
          </w:p>
        </w:tc>
        <w:tc>
          <w:tcPr>
            <w:tcW w:w="7104" w:type="dxa"/>
            <w:tcBorders>
              <w:top w:val="single" w:color="000000" w:sz="4" w:space="0"/>
              <w:left w:val="single" w:color="000000" w:sz="4" w:space="0"/>
              <w:bottom w:val="single" w:color="000000" w:sz="4" w:space="0"/>
              <w:right w:val="single" w:color="000000" w:sz="4" w:space="0"/>
            </w:tcBorders>
            <w:vAlign w:val="center"/>
          </w:tcPr>
          <w:p w14:paraId="0387777C">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Pažymėti avariniai išėjimai. </w:t>
            </w:r>
          </w:p>
          <w:p w14:paraId="7EFF778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Šalia avarinio išėjimo pritvirtinti plaktukai, skirti stiklui sudaužyti.</w:t>
            </w:r>
          </w:p>
        </w:tc>
      </w:tr>
      <w:tr w14:paraId="7E7CC383">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38490BC">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4. Variklis </w:t>
            </w:r>
          </w:p>
        </w:tc>
        <w:tc>
          <w:tcPr>
            <w:tcW w:w="7104" w:type="dxa"/>
            <w:tcBorders>
              <w:top w:val="single" w:color="000000" w:sz="4" w:space="0"/>
              <w:left w:val="single" w:color="000000" w:sz="4" w:space="0"/>
              <w:bottom w:val="single" w:color="000000" w:sz="4" w:space="0"/>
              <w:right w:val="single" w:color="000000" w:sz="4" w:space="0"/>
            </w:tcBorders>
            <w:vAlign w:val="center"/>
          </w:tcPr>
          <w:p w14:paraId="0FB11C85">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Variklis sukonstruotas  ir pritaikytas naudoti dyzeliną;</w:t>
            </w:r>
          </w:p>
          <w:p w14:paraId="189FD1D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Variklio galia ne mažesnė kaip 260 kw. Išmetimo dujų emisijos lygis ne mažiau EURO 6;</w:t>
            </w:r>
          </w:p>
          <w:p w14:paraId="4641EF6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Variklio aušinimo sistema turi būti užpildyta aušinimo skysčiu neužšąlančiu iki -32° C arba šaltesniu oru;</w:t>
            </w:r>
          </w:p>
          <w:p w14:paraId="6A8B565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Variklis turi užsivesti be papildomos įrangos ar paruošimo, kai transporto priemonė (ir akumuliatorių baterija) yra atšaldyta iki -32°=/+ 2 C temperatūros arba šaltesniu oru. </w:t>
            </w:r>
          </w:p>
        </w:tc>
      </w:tr>
      <w:tr w14:paraId="0F7D7949">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3656C5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5. Aplinkosauginis reikalavimas</w:t>
            </w:r>
          </w:p>
        </w:tc>
        <w:tc>
          <w:tcPr>
            <w:tcW w:w="7104" w:type="dxa"/>
            <w:tcBorders>
              <w:top w:val="single" w:color="000000" w:sz="4" w:space="0"/>
              <w:left w:val="single" w:color="000000" w:sz="4" w:space="0"/>
              <w:bottom w:val="single" w:color="000000" w:sz="4" w:space="0"/>
              <w:right w:val="single" w:color="000000" w:sz="4" w:space="0"/>
            </w:tcBorders>
            <w:vAlign w:val="center"/>
          </w:tcPr>
          <w:p w14:paraId="34FAAAF6">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bookmarkStart w:id="17" w:name="_Hlk240893373"/>
            <w:r>
              <w:rPr>
                <w:bCs/>
                <w:color w:val="000000"/>
                <w:lang w:val="lt-LT"/>
              </w:rPr>
              <w:t>Išmetimo dujų emisijos lygis ne mažiau EURO6. Pateikiamas atitikimą patvirtinantis dokumentas su pasiūlymu.</w:t>
            </w:r>
            <w:bookmarkEnd w:id="17"/>
          </w:p>
        </w:tc>
      </w:tr>
      <w:tr w14:paraId="104D51D7">
        <w:tblPrEx>
          <w:tblCellMar>
            <w:top w:w="0" w:type="dxa"/>
            <w:left w:w="108" w:type="dxa"/>
            <w:bottom w:w="0" w:type="dxa"/>
            <w:right w:w="108" w:type="dxa"/>
          </w:tblCellMar>
        </w:tblPrEx>
        <w:trPr>
          <w:trHeight w:val="510" w:hRule="atLeast"/>
          <w:jc w:val="center"/>
        </w:trPr>
        <w:tc>
          <w:tcPr>
            <w:tcW w:w="2834" w:type="dxa"/>
            <w:tcBorders>
              <w:top w:val="single" w:color="000000" w:sz="4" w:space="0"/>
              <w:left w:val="single" w:color="000000" w:sz="4" w:space="0"/>
              <w:bottom w:val="single" w:color="000000" w:sz="4" w:space="0"/>
            </w:tcBorders>
            <w:vAlign w:val="center"/>
          </w:tcPr>
          <w:p w14:paraId="5BA297CC">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6. Autobuso greitis</w:t>
            </w:r>
          </w:p>
        </w:tc>
        <w:tc>
          <w:tcPr>
            <w:tcW w:w="7104" w:type="dxa"/>
            <w:tcBorders>
              <w:top w:val="single" w:color="000000" w:sz="4" w:space="0"/>
              <w:left w:val="single" w:color="000000" w:sz="4" w:space="0"/>
              <w:bottom w:val="single" w:color="000000" w:sz="4" w:space="0"/>
              <w:right w:val="single" w:color="000000" w:sz="4" w:space="0"/>
            </w:tcBorders>
            <w:vAlign w:val="center"/>
          </w:tcPr>
          <w:p w14:paraId="07A64262">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Transporto priemonėje privalo būti greičio ribotuvas, maksimalus greitis apribotas iki 100  km/h.</w:t>
            </w:r>
          </w:p>
        </w:tc>
      </w:tr>
      <w:tr w14:paraId="512CAE94">
        <w:tblPrEx>
          <w:tblCellMar>
            <w:top w:w="0" w:type="dxa"/>
            <w:left w:w="108" w:type="dxa"/>
            <w:bottom w:w="0" w:type="dxa"/>
            <w:right w:w="108" w:type="dxa"/>
          </w:tblCellMar>
        </w:tblPrEx>
        <w:trPr>
          <w:trHeight w:val="351" w:hRule="atLeast"/>
          <w:jc w:val="center"/>
        </w:trPr>
        <w:tc>
          <w:tcPr>
            <w:tcW w:w="2834" w:type="dxa"/>
            <w:tcBorders>
              <w:top w:val="single" w:color="000000" w:sz="4" w:space="0"/>
              <w:left w:val="single" w:color="000000" w:sz="4" w:space="0"/>
              <w:bottom w:val="single" w:color="000000" w:sz="4" w:space="0"/>
            </w:tcBorders>
          </w:tcPr>
          <w:p w14:paraId="01496D5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7. Degalų rezervuarai</w:t>
            </w:r>
          </w:p>
        </w:tc>
        <w:tc>
          <w:tcPr>
            <w:tcW w:w="7104" w:type="dxa"/>
            <w:tcBorders>
              <w:top w:val="single" w:color="000000" w:sz="4" w:space="0"/>
              <w:left w:val="single" w:color="000000" w:sz="4" w:space="0"/>
              <w:bottom w:val="single" w:color="000000" w:sz="4" w:space="0"/>
              <w:right w:val="single" w:color="000000" w:sz="4" w:space="0"/>
            </w:tcBorders>
          </w:tcPr>
          <w:p w14:paraId="78F459F9">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Kuro bako talpa ne mažesnė nei 200 litrų.</w:t>
            </w:r>
          </w:p>
        </w:tc>
      </w:tr>
      <w:tr w14:paraId="22987B32">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3A32323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8. Pavarų dėžė</w:t>
            </w:r>
          </w:p>
        </w:tc>
        <w:tc>
          <w:tcPr>
            <w:tcW w:w="7104" w:type="dxa"/>
            <w:tcBorders>
              <w:top w:val="single" w:color="000000" w:sz="4" w:space="0"/>
              <w:left w:val="single" w:color="000000" w:sz="4" w:space="0"/>
              <w:bottom w:val="single" w:color="000000" w:sz="4" w:space="0"/>
              <w:right w:val="single" w:color="000000" w:sz="4" w:space="0"/>
            </w:tcBorders>
            <w:vAlign w:val="center"/>
          </w:tcPr>
          <w:p w14:paraId="32BD48A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Automatinė.</w:t>
            </w:r>
          </w:p>
        </w:tc>
      </w:tr>
      <w:tr w14:paraId="3049238D">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4EBAE8CE">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9. Stabdžių sistema</w:t>
            </w:r>
          </w:p>
        </w:tc>
        <w:tc>
          <w:tcPr>
            <w:tcW w:w="7104" w:type="dxa"/>
            <w:tcBorders>
              <w:top w:val="single" w:color="000000" w:sz="4" w:space="0"/>
              <w:left w:val="single" w:color="000000" w:sz="4" w:space="0"/>
              <w:bottom w:val="single" w:color="000000" w:sz="4" w:space="0"/>
              <w:right w:val="single" w:color="000000" w:sz="4" w:space="0"/>
            </w:tcBorders>
            <w:vAlign w:val="center"/>
          </w:tcPr>
          <w:p w14:paraId="7382172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Stabdžių sistema turi būti pneumatinė;</w:t>
            </w:r>
          </w:p>
          <w:p w14:paraId="60BF17B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Darbiniai stabdžiai dviejų kontūrų su įrengta stabdžių antiblokavimo sistema ABS (angl. anti-lock braking system) ir traukos kontrolės sistema ASR (angl. Anti-Slip Regulation) arba lygiavertės sistemos;</w:t>
            </w:r>
          </w:p>
          <w:p w14:paraId="1DFDE50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Stovėjimo stabdis. </w:t>
            </w:r>
          </w:p>
        </w:tc>
      </w:tr>
      <w:tr w14:paraId="2F299AFB">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0E5AD6C">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10, Elektros įranga</w:t>
            </w:r>
          </w:p>
        </w:tc>
        <w:tc>
          <w:tcPr>
            <w:tcW w:w="7104" w:type="dxa"/>
            <w:tcBorders>
              <w:top w:val="single" w:color="000000" w:sz="4" w:space="0"/>
              <w:left w:val="single" w:color="000000" w:sz="4" w:space="0"/>
              <w:bottom w:val="single" w:color="000000" w:sz="4" w:space="0"/>
              <w:right w:val="single" w:color="000000" w:sz="4" w:space="0"/>
            </w:tcBorders>
            <w:vAlign w:val="center"/>
          </w:tcPr>
          <w:p w14:paraId="063AA982">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Veikimo įtampa 24V;</w:t>
            </w:r>
          </w:p>
          <w:p w14:paraId="1385863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Turi būti dvi akumuliatorinės baterijos, kurių kiekvienos talpa ne mažesnė nei 200 Ah;</w:t>
            </w:r>
          </w:p>
          <w:p w14:paraId="047AD4D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OBD diagnostikos jungtis;</w:t>
            </w:r>
          </w:p>
          <w:p w14:paraId="7744030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Gaisro aptikimo sistema variklio skyriuje;</w:t>
            </w:r>
          </w:p>
          <w:p w14:paraId="07359F36">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Variklio skyriaus apšvietimas.</w:t>
            </w:r>
          </w:p>
        </w:tc>
      </w:tr>
      <w:tr w14:paraId="5C7DABC2">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6A2B6A25">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11. Salono apšvietimas</w:t>
            </w:r>
          </w:p>
        </w:tc>
        <w:tc>
          <w:tcPr>
            <w:tcW w:w="7104" w:type="dxa"/>
            <w:tcBorders>
              <w:top w:val="single" w:color="000000" w:sz="4" w:space="0"/>
              <w:left w:val="single" w:color="000000" w:sz="4" w:space="0"/>
              <w:bottom w:val="single" w:color="000000" w:sz="4" w:space="0"/>
              <w:right w:val="single" w:color="000000" w:sz="4" w:space="0"/>
            </w:tcBorders>
            <w:vAlign w:val="center"/>
          </w:tcPr>
          <w:p w14:paraId="1E93FAE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Atskiras apšvietimas vairuotojo darbo vietoje;</w:t>
            </w:r>
          </w:p>
          <w:p w14:paraId="2E0DA4F2">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Mažai energijos eikvojantis vidaus apšvietimas (varikliui nedirbant).</w:t>
            </w:r>
          </w:p>
        </w:tc>
      </w:tr>
      <w:tr w14:paraId="7E7C5829">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5C331521">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12. Pakaba </w:t>
            </w:r>
          </w:p>
        </w:tc>
        <w:tc>
          <w:tcPr>
            <w:tcW w:w="7104" w:type="dxa"/>
            <w:tcBorders>
              <w:top w:val="single" w:color="000000" w:sz="4" w:space="0"/>
              <w:left w:val="single" w:color="000000" w:sz="4" w:space="0"/>
              <w:bottom w:val="single" w:color="000000" w:sz="4" w:space="0"/>
              <w:right w:val="single" w:color="000000" w:sz="4" w:space="0"/>
            </w:tcBorders>
            <w:vAlign w:val="center"/>
          </w:tcPr>
          <w:p w14:paraId="776AFD8C">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Orinė pakaba su elektronine lygio kontrole (ENR) arba lygiavert;</w:t>
            </w:r>
          </w:p>
          <w:p w14:paraId="2EBE832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Išmetimo vamzdis dešinėje pusėje nukreiptas į kelio paviršių arba kairėje pusėje viršuje;</w:t>
            </w:r>
          </w:p>
          <w:p w14:paraId="5DBA6C26">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Priekinės ašies stabilizatorius;</w:t>
            </w:r>
          </w:p>
          <w:p w14:paraId="53D3C6BE">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Galinės ašies stabilizatorius.</w:t>
            </w:r>
          </w:p>
        </w:tc>
      </w:tr>
      <w:tr w14:paraId="529B36C6">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34F27BE">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13. Kėbulas </w:t>
            </w:r>
          </w:p>
        </w:tc>
        <w:tc>
          <w:tcPr>
            <w:tcW w:w="7104" w:type="dxa"/>
            <w:tcBorders>
              <w:top w:val="single" w:color="000000" w:sz="4" w:space="0"/>
              <w:left w:val="single" w:color="000000" w:sz="4" w:space="0"/>
              <w:bottom w:val="single" w:color="000000" w:sz="4" w:space="0"/>
              <w:right w:val="single" w:color="000000" w:sz="4" w:space="0"/>
            </w:tcBorders>
            <w:vAlign w:val="center"/>
          </w:tcPr>
          <w:p w14:paraId="0EB4477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Visi kėbulo elementai pagaminti iš ilgaamžiškų, korozijai atsparių, medžiagų;</w:t>
            </w:r>
          </w:p>
          <w:p w14:paraId="352676D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Kėbulas padengtas antikorozine danga;</w:t>
            </w:r>
          </w:p>
          <w:p w14:paraId="1FAA52C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Šoninių kėbulo sienų šilumos ir garso izoliacija;</w:t>
            </w:r>
          </w:p>
          <w:p w14:paraId="14C131A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Vilkimo kilpa.</w:t>
            </w:r>
          </w:p>
        </w:tc>
      </w:tr>
      <w:tr w14:paraId="500820D3">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279138F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14. Langai, veidrodžiai</w:t>
            </w:r>
          </w:p>
        </w:tc>
        <w:tc>
          <w:tcPr>
            <w:tcW w:w="7104" w:type="dxa"/>
            <w:tcBorders>
              <w:top w:val="single" w:color="000000" w:sz="4" w:space="0"/>
              <w:left w:val="single" w:color="000000" w:sz="4" w:space="0"/>
              <w:bottom w:val="single" w:color="000000" w:sz="4" w:space="0"/>
              <w:right w:val="single" w:color="000000" w:sz="4" w:space="0"/>
            </w:tcBorders>
            <w:vAlign w:val="center"/>
          </w:tcPr>
          <w:p w14:paraId="094389A5">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Priekinis stiklas su apsauga nuo saulės stiklo viršuje;</w:t>
            </w:r>
          </w:p>
          <w:p w14:paraId="7F04229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Šildomi ir elektra reguliuojami išorės veidrodžiai;</w:t>
            </w:r>
          </w:p>
          <w:p w14:paraId="7A24DB0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Vidinis veidrodis prie vairuotojo;</w:t>
            </w:r>
          </w:p>
          <w:p w14:paraId="059F6C3D">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Saulės apsauga ant vairuotojo stiklo.</w:t>
            </w:r>
          </w:p>
        </w:tc>
      </w:tr>
      <w:tr w14:paraId="6FEFF93E">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62E00F20">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15. Oro kondicionierius, šildymas, ventiliacija</w:t>
            </w:r>
          </w:p>
        </w:tc>
        <w:tc>
          <w:tcPr>
            <w:tcW w:w="7104" w:type="dxa"/>
            <w:tcBorders>
              <w:top w:val="single" w:color="000000" w:sz="4" w:space="0"/>
              <w:left w:val="single" w:color="000000" w:sz="4" w:space="0"/>
              <w:bottom w:val="single" w:color="000000" w:sz="4" w:space="0"/>
              <w:right w:val="single" w:color="000000" w:sz="4" w:space="0"/>
            </w:tcBorders>
            <w:vAlign w:val="center"/>
          </w:tcPr>
          <w:p w14:paraId="48B11B9C">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Šildymo ir ventiliacijos sistemos – privalomos;</w:t>
            </w:r>
          </w:p>
          <w:p w14:paraId="4D7D197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Šildymas su šoniniais sienų radiatoriais su karšto/ar šaltu oru; </w:t>
            </w:r>
          </w:p>
          <w:p w14:paraId="5346FCB7">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Papildomas šildytuvas „Webasto“ (Webasto – tai autonominio šildymo sistema, naudojama autobusuose), arba lygiavertis; </w:t>
            </w:r>
          </w:p>
          <w:p w14:paraId="6559D670">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Vairuotojo darbo vietos oro kondicionavimo sistema;</w:t>
            </w:r>
          </w:p>
          <w:p w14:paraId="756E020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Stogo kondicionavimo sistema keleiviams, kiekvienai sėdimai vietai atskiri ortakiai;</w:t>
            </w:r>
          </w:p>
          <w:p w14:paraId="42847E59">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Stogo liukai arba stogo ventiliacija.</w:t>
            </w:r>
          </w:p>
        </w:tc>
      </w:tr>
      <w:tr w14:paraId="73C651A8">
        <w:tblPrEx>
          <w:tblCellMar>
            <w:top w:w="0" w:type="dxa"/>
            <w:left w:w="108" w:type="dxa"/>
            <w:bottom w:w="0" w:type="dxa"/>
            <w:right w:w="108" w:type="dxa"/>
          </w:tblCellMar>
        </w:tblPrEx>
        <w:trPr>
          <w:trHeight w:val="2101" w:hRule="atLeast"/>
          <w:jc w:val="center"/>
        </w:trPr>
        <w:tc>
          <w:tcPr>
            <w:tcW w:w="2834" w:type="dxa"/>
            <w:tcBorders>
              <w:top w:val="single" w:color="000000" w:sz="4" w:space="0"/>
              <w:left w:val="single" w:color="000000" w:sz="4" w:space="0"/>
              <w:bottom w:val="single" w:color="000000" w:sz="4" w:space="0"/>
            </w:tcBorders>
            <w:vAlign w:val="center"/>
          </w:tcPr>
          <w:p w14:paraId="6439A25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16. Išorinės informacijos keleiviams priemonės</w:t>
            </w:r>
          </w:p>
        </w:tc>
        <w:tc>
          <w:tcPr>
            <w:tcW w:w="7104" w:type="dxa"/>
            <w:tcBorders>
              <w:top w:val="single" w:color="000000" w:sz="4" w:space="0"/>
              <w:left w:val="single" w:color="000000" w:sz="4" w:space="0"/>
              <w:bottom w:val="single" w:color="000000" w:sz="4" w:space="0"/>
              <w:right w:val="single" w:color="000000" w:sz="4" w:space="0"/>
            </w:tcBorders>
            <w:vAlign w:val="center"/>
          </w:tcPr>
          <w:p w14:paraId="1216470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Maršruto krypties displėjai:</w:t>
            </w:r>
          </w:p>
          <w:p w14:paraId="7BAF22A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autobuso priekyje – privalomas;</w:t>
            </w:r>
          </w:p>
          <w:p w14:paraId="08D0E4A5">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autobuso dešinėje pusėje – privalomas.</w:t>
            </w:r>
          </w:p>
          <w:p w14:paraId="4418501D">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p>
        </w:tc>
      </w:tr>
      <w:tr w14:paraId="53806686">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tcPr>
          <w:p w14:paraId="009D3CE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17. Durų konfigūracija</w:t>
            </w:r>
          </w:p>
        </w:tc>
        <w:tc>
          <w:tcPr>
            <w:tcW w:w="7104" w:type="dxa"/>
            <w:tcBorders>
              <w:top w:val="single" w:color="000000" w:sz="4" w:space="0"/>
              <w:left w:val="single" w:color="000000" w:sz="4" w:space="0"/>
              <w:bottom w:val="single" w:color="000000" w:sz="4" w:space="0"/>
              <w:right w:val="single" w:color="000000" w:sz="4" w:space="0"/>
            </w:tcBorders>
            <w:vAlign w:val="center"/>
          </w:tcPr>
          <w:p w14:paraId="05A2D98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Į vidų atsidarančios durys išdėstytos dešinėje autobuso pusėje 1-1 arba 1-2.</w:t>
            </w:r>
          </w:p>
        </w:tc>
      </w:tr>
      <w:tr w14:paraId="0853D6BB">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7FEA0DA3">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18. Durų valdymas</w:t>
            </w:r>
          </w:p>
        </w:tc>
        <w:tc>
          <w:tcPr>
            <w:tcW w:w="7104" w:type="dxa"/>
            <w:tcBorders>
              <w:top w:val="single" w:color="000000" w:sz="4" w:space="0"/>
              <w:left w:val="single" w:color="000000" w:sz="4" w:space="0"/>
              <w:bottom w:val="single" w:color="000000" w:sz="4" w:space="0"/>
              <w:right w:val="single" w:color="000000" w:sz="4" w:space="0"/>
            </w:tcBorders>
            <w:vAlign w:val="center"/>
          </w:tcPr>
          <w:p w14:paraId="6BB0447D">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Tvirtas ir saugus užsidarymas;</w:t>
            </w:r>
          </w:p>
          <w:p w14:paraId="067030AA">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Apsauga nuo keleivių prispaudimo;</w:t>
            </w:r>
          </w:p>
          <w:p w14:paraId="081C8CD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Valdymas iš vairuotojo darbo vietos;</w:t>
            </w:r>
          </w:p>
          <w:p w14:paraId="4A15F00E">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Galimybė valdyti tik iš vairuotojo darbo vietos;</w:t>
            </w:r>
          </w:p>
          <w:p w14:paraId="29D40B31">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Durų užraktai;</w:t>
            </w:r>
          </w:p>
          <w:p w14:paraId="4655CF26">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Avariniai vožtuvai prie durų išorės;</w:t>
            </w:r>
          </w:p>
          <w:p w14:paraId="21CE746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Avarinis vožtuvas su dangteliu autobuso viduje.</w:t>
            </w:r>
          </w:p>
        </w:tc>
      </w:tr>
      <w:tr w14:paraId="38B38688">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361727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19. Grindų danga</w:t>
            </w:r>
          </w:p>
        </w:tc>
        <w:tc>
          <w:tcPr>
            <w:tcW w:w="7104" w:type="dxa"/>
            <w:tcBorders>
              <w:top w:val="single" w:color="000000" w:sz="4" w:space="0"/>
              <w:left w:val="single" w:color="000000" w:sz="4" w:space="0"/>
              <w:bottom w:val="single" w:color="000000" w:sz="4" w:space="0"/>
              <w:right w:val="single" w:color="000000" w:sz="4" w:space="0"/>
            </w:tcBorders>
            <w:vAlign w:val="center"/>
          </w:tcPr>
          <w:p w14:paraId="1C71115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Neslidi, atspari dilimui grindų danga.</w:t>
            </w:r>
          </w:p>
        </w:tc>
      </w:tr>
      <w:tr w14:paraId="3B90774E">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5A3CEB4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20. Ratai ir padangos </w:t>
            </w:r>
          </w:p>
        </w:tc>
        <w:tc>
          <w:tcPr>
            <w:tcW w:w="7104" w:type="dxa"/>
            <w:tcBorders>
              <w:top w:val="single" w:color="000000" w:sz="4" w:space="0"/>
              <w:left w:val="single" w:color="000000" w:sz="4" w:space="0"/>
              <w:bottom w:val="single" w:color="000000" w:sz="4" w:space="0"/>
              <w:right w:val="single" w:color="000000" w:sz="4" w:space="0"/>
            </w:tcBorders>
            <w:vAlign w:val="center"/>
          </w:tcPr>
          <w:p w14:paraId="6E1A8410">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Plieniniai ratlankiai;</w:t>
            </w:r>
          </w:p>
          <w:p w14:paraId="656431E0">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Ratų gaubtai;</w:t>
            </w:r>
          </w:p>
          <w:p w14:paraId="0A495D6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Padangos be kamerinės, skirtos eksploatuoti mieste.</w:t>
            </w:r>
          </w:p>
        </w:tc>
      </w:tr>
      <w:tr w14:paraId="2C7D3146">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303DCB18">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21. Vidaus įranga</w:t>
            </w:r>
          </w:p>
        </w:tc>
        <w:tc>
          <w:tcPr>
            <w:tcW w:w="7104" w:type="dxa"/>
            <w:tcBorders>
              <w:top w:val="single" w:color="000000" w:sz="4" w:space="0"/>
              <w:left w:val="single" w:color="000000" w:sz="4" w:space="0"/>
              <w:bottom w:val="single" w:color="000000" w:sz="4" w:space="0"/>
              <w:right w:val="single" w:color="000000" w:sz="4" w:space="0"/>
            </w:tcBorders>
            <w:vAlign w:val="center"/>
          </w:tcPr>
          <w:p w14:paraId="5CD9D996">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Sėdynės turi būti pagamintos paminkštintomis sėdimosiomis dalimis, patikimai pritvirtintos ir netrukdyti keleivių judėjimui. Kiekvienoje sėdimojoje vietoje turi būti įrengtas saugos diržas. Autobuse turi būti įrengti horizontalūs turėklai, o virš keleivių sėdimųjų vietų – lentynos arba daiktadėžės rankiniam bagažui ir asmeniniams daiktams saugiai susidėti.</w:t>
            </w:r>
          </w:p>
        </w:tc>
      </w:tr>
    </w:tbl>
    <w:p w14:paraId="7174D71B">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p>
    <w:p w14:paraId="2A6D16D4">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 xml:space="preserve">Pastabos: </w:t>
      </w:r>
    </w:p>
    <w:p w14:paraId="0471AA5D">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Cs/>
          <w:color w:val="000000"/>
          <w:lang w:val="lt-LT"/>
        </w:rPr>
      </w:pPr>
      <w:r>
        <w:rPr>
          <w:bCs/>
          <w:color w:val="000000"/>
          <w:lang w:val="lt-LT"/>
        </w:rPr>
        <w:t>Tiekėjas turi užtikrinti galimybę Viešųjų pirkimų komisijai, komisijos atstovui arba įgaliotam asmeniui apžiūrėti ir įvertinti Prekės techninę ir estetinę būklę. Vertinimas kėbulo korozijos (ne) buvimas, estetinis vaizdas, variklio, agregatų, elektros sistemų ir sėdynių būklė. Apžiūros metu bus surašyti protokolai ir fotofiksacijos.</w:t>
      </w:r>
    </w:p>
    <w:p w14:paraId="72EDBF2C">
      <w:pPr>
        <w:widowControl w:val="0"/>
        <w:pBdr>
          <w:top w:val="none" w:color="000000" w:sz="0" w:space="0"/>
          <w:left w:val="none" w:color="000000" w:sz="0" w:space="0"/>
          <w:bottom w:val="none" w:color="000000" w:sz="0" w:space="0"/>
          <w:right w:val="none" w:color="000000" w:sz="0" w:space="0"/>
          <w:between w:val="none" w:color="000000" w:sz="0" w:space="0"/>
        </w:pBdr>
        <w:jc w:val="both"/>
        <w:rPr>
          <w:color w:val="000000"/>
        </w:rPr>
      </w:pPr>
      <w:bookmarkStart w:id="18" w:name="_heading=h.hcq7gyw39utv" w:colFirst="0" w:colLast="0"/>
      <w:bookmarkEnd w:id="18"/>
      <w:r>
        <w:rPr>
          <w:bCs/>
          <w:color w:val="000000"/>
        </w:rPr>
        <w:t>PASTABA. Pirkimo objekto techninėje specifikacijoje ar kitose pirkimo dokumentuose nurodyti konkretūs modeliai ar tiekimo šaltinis, konkretus procesas, būdingas konkretaus tiekėjo tiekiamoms prekėms, ar prekių ženklas, tipas, konkreti kilmė ar gamyba, medžiagos turi būti suprantami su nuoroda ir žodžiais „arba lygiavertis” ir laikoma, kad gali būti pateikta lygiavertė. Nurodyti sertifikatai, standartai turi būti suprantami su žodžiais „arba lygiavertis“ ir suprantami, kad Prekės kilmės šalies išduodamas dokumentas patvirtinantis atitikimą keliamiems reikalavimas, todėl turi būti laikoma, kad</w:t>
      </w:r>
      <w:r>
        <w:rPr>
          <w:color w:val="000000"/>
        </w:rPr>
        <w:t xml:space="preserve"> kiekviena tokia nuoroda yra pateikta su žodžiais „arba lygiavertis“. Viešųjų pirkimų techninėje specifikacijoje minimas terminas „lygiavertis standartas (sertifikatas)“ reiškia sertifikatą, kuris yra išduotas įstaigų, įsteigtų kitose ES valstybėse, kurias yra sertifikavusi Europos Bendrijos teisės aktų nustatytus reikalavimus atitinkanti sertifikavimo įstaiga.</w:t>
      </w:r>
    </w:p>
    <w:p w14:paraId="14A86C07">
      <w:pPr>
        <w:widowControl w:val="0"/>
        <w:pBdr>
          <w:top w:val="none" w:color="000000" w:sz="0" w:space="0"/>
          <w:left w:val="none" w:color="000000" w:sz="0" w:space="0"/>
          <w:bottom w:val="none" w:color="000000" w:sz="0" w:space="0"/>
          <w:right w:val="none" w:color="000000" w:sz="0" w:space="0"/>
          <w:between w:val="none" w:color="000000" w:sz="0" w:space="0"/>
        </w:pBdr>
        <w:jc w:val="both"/>
        <w:rPr>
          <w:lang w:val="lt-LT"/>
        </w:rPr>
      </w:pPr>
      <w:r>
        <w:rPr>
          <w:lang w:val="lt-LT"/>
        </w:rPr>
        <w:t>Pildoma su pa</w:t>
      </w:r>
      <w:r>
        <w:rPr>
          <w:rFonts w:hint="default"/>
          <w:lang w:val="en-US"/>
        </w:rPr>
        <w:t>s</w:t>
      </w:r>
      <w:r>
        <w:rPr>
          <w:lang w:val="lt-LT"/>
        </w:rPr>
        <w:t>iūlymu:</w:t>
      </w:r>
    </w:p>
    <w:p w14:paraId="3491B9F5">
      <w:pPr>
        <w:widowControl w:val="0"/>
        <w:pBdr>
          <w:top w:val="none" w:color="000000" w:sz="0" w:space="0"/>
          <w:left w:val="none" w:color="000000" w:sz="0" w:space="0"/>
          <w:bottom w:val="none" w:color="000000" w:sz="0" w:space="0"/>
          <w:right w:val="none" w:color="000000" w:sz="0" w:space="0"/>
          <w:between w:val="none" w:color="000000" w:sz="0" w:space="0"/>
        </w:pBdr>
        <w:jc w:val="both"/>
        <w:rPr>
          <w:lang w:val="lt-LT"/>
        </w:rPr>
      </w:pPr>
    </w:p>
    <w:tbl>
      <w:tblPr>
        <w:tblStyle w:val="9"/>
        <w:tblW w:w="9348" w:type="dxa"/>
        <w:jc w:val="center"/>
        <w:tblLayout w:type="fixed"/>
        <w:tblCellMar>
          <w:top w:w="0" w:type="dxa"/>
          <w:left w:w="108" w:type="dxa"/>
          <w:bottom w:w="0" w:type="dxa"/>
          <w:right w:w="108" w:type="dxa"/>
        </w:tblCellMar>
      </w:tblPr>
      <w:tblGrid>
        <w:gridCol w:w="2834"/>
        <w:gridCol w:w="3871"/>
        <w:gridCol w:w="2643"/>
      </w:tblGrid>
      <w:tr w14:paraId="0336B1E5">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CF8B9A9">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Kiekis </w:t>
            </w:r>
          </w:p>
        </w:tc>
        <w:tc>
          <w:tcPr>
            <w:tcW w:w="3871" w:type="dxa"/>
            <w:tcBorders>
              <w:top w:val="single" w:color="000000" w:sz="4" w:space="0"/>
              <w:left w:val="single" w:color="000000" w:sz="4" w:space="0"/>
              <w:bottom w:val="single" w:color="000000" w:sz="4" w:space="0"/>
              <w:right w:val="single" w:color="000000" w:sz="4" w:space="0"/>
            </w:tcBorders>
            <w:vAlign w:val="center"/>
          </w:tcPr>
          <w:p w14:paraId="0CF7384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3 vnt. </w:t>
            </w:r>
          </w:p>
        </w:tc>
        <w:tc>
          <w:tcPr>
            <w:tcW w:w="2643" w:type="dxa"/>
            <w:tcBorders>
              <w:top w:val="single" w:color="000000" w:sz="4" w:space="0"/>
              <w:left w:val="single" w:color="000000" w:sz="4" w:space="0"/>
              <w:bottom w:val="single" w:color="000000" w:sz="4" w:space="0"/>
              <w:right w:val="single" w:color="000000" w:sz="4" w:space="0"/>
            </w:tcBorders>
          </w:tcPr>
          <w:p w14:paraId="0CA3B0E1">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Pildo dalyvis nurodydamas konkretaus siūlomo autobuso techninius duomenis, parametrus, atitikimo patvirtinimus ir konkrečius matmenis, </w:t>
            </w:r>
            <w:r>
              <w:rPr>
                <w:rFonts w:hint="default"/>
                <w:bCs/>
                <w:lang w:val="en-US"/>
              </w:rPr>
              <w:t xml:space="preserve">techninius </w:t>
            </w:r>
            <w:r>
              <w:rPr>
                <w:bCs/>
                <w:lang w:val="lt-LT"/>
              </w:rPr>
              <w:t>skaičius</w:t>
            </w:r>
          </w:p>
        </w:tc>
      </w:tr>
      <w:tr w14:paraId="4A0AC5C9">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6453573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1. Transporto priemonės tipas</w:t>
            </w:r>
          </w:p>
        </w:tc>
        <w:tc>
          <w:tcPr>
            <w:tcW w:w="3871" w:type="dxa"/>
            <w:tcBorders>
              <w:top w:val="single" w:color="000000" w:sz="4" w:space="0"/>
              <w:left w:val="single" w:color="000000" w:sz="4" w:space="0"/>
              <w:bottom w:val="single" w:color="000000" w:sz="4" w:space="0"/>
              <w:right w:val="single" w:color="000000" w:sz="4" w:space="0"/>
            </w:tcBorders>
            <w:vAlign w:val="center"/>
          </w:tcPr>
          <w:p w14:paraId="6C459539">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Keleivinis vienaaukštis tarpmiestinio (priemiestinio) tipo autobusas (transporto priemonės kodas M3), naudojantis dyzeliną, sertifikuotas pagal 2001/85/ES direktyvą.</w:t>
            </w:r>
          </w:p>
          <w:p w14:paraId="447A9E0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Autobusai privalo atitikti Techninius motorinių transporto priemonių ir jų priekabų reikalavimus, patvirtintus Valstybinės kelių transporto inspekcijos prie Susisiekimo ministerijos viršininko 2008 m. liepos 29 d. įsakymu Nr. 2B-290 (Žin., 2008, Nr. 88-3550; 2010, Nr. 50-2465).</w:t>
            </w:r>
          </w:p>
          <w:p w14:paraId="2F0E1365">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color w:val="000000"/>
                <w:lang w:val="lt-LT"/>
              </w:rPr>
              <w:t>Keleivinio tipo transporto priemonė, skirta vežti keleivius priemiesčio, miesto maršrutais.</w:t>
            </w:r>
          </w:p>
        </w:tc>
        <w:tc>
          <w:tcPr>
            <w:tcW w:w="2643" w:type="dxa"/>
            <w:tcBorders>
              <w:top w:val="single" w:color="000000" w:sz="4" w:space="0"/>
              <w:left w:val="single" w:color="000000" w:sz="4" w:space="0"/>
              <w:bottom w:val="single" w:color="000000" w:sz="4" w:space="0"/>
              <w:right w:val="single" w:color="000000" w:sz="4" w:space="0"/>
            </w:tcBorders>
          </w:tcPr>
          <w:p w14:paraId="779078E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15E58CC3">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A527D6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Pirmos registracijos data</w:t>
            </w:r>
          </w:p>
        </w:tc>
        <w:tc>
          <w:tcPr>
            <w:tcW w:w="3871" w:type="dxa"/>
            <w:tcBorders>
              <w:top w:val="single" w:color="000000" w:sz="4" w:space="0"/>
              <w:left w:val="single" w:color="000000" w:sz="4" w:space="0"/>
              <w:bottom w:val="single" w:color="000000" w:sz="4" w:space="0"/>
              <w:right w:val="single" w:color="000000" w:sz="4" w:space="0"/>
            </w:tcBorders>
            <w:vAlign w:val="center"/>
          </w:tcPr>
          <w:p w14:paraId="69A2640F">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Ne senesnė kaip 2016 m. </w:t>
            </w:r>
          </w:p>
        </w:tc>
        <w:tc>
          <w:tcPr>
            <w:tcW w:w="2643" w:type="dxa"/>
            <w:tcBorders>
              <w:top w:val="single" w:color="000000" w:sz="4" w:space="0"/>
              <w:left w:val="single" w:color="000000" w:sz="4" w:space="0"/>
              <w:bottom w:val="single" w:color="000000" w:sz="4" w:space="0"/>
              <w:right w:val="single" w:color="000000" w:sz="4" w:space="0"/>
            </w:tcBorders>
          </w:tcPr>
          <w:p w14:paraId="04B136B4">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763BC334">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2255CB3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Bendras ilgis</w:t>
            </w:r>
          </w:p>
        </w:tc>
        <w:tc>
          <w:tcPr>
            <w:tcW w:w="3871" w:type="dxa"/>
            <w:tcBorders>
              <w:top w:val="single" w:color="000000" w:sz="4" w:space="0"/>
              <w:left w:val="single" w:color="000000" w:sz="4" w:space="0"/>
              <w:bottom w:val="single" w:color="000000" w:sz="4" w:space="0"/>
              <w:right w:val="single" w:color="000000" w:sz="4" w:space="0"/>
            </w:tcBorders>
            <w:vAlign w:val="center"/>
          </w:tcPr>
          <w:p w14:paraId="5062B80E">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Ne daugiau nei 12 300 mm </w:t>
            </w:r>
          </w:p>
        </w:tc>
        <w:tc>
          <w:tcPr>
            <w:tcW w:w="2643" w:type="dxa"/>
            <w:tcBorders>
              <w:top w:val="single" w:color="000000" w:sz="4" w:space="0"/>
              <w:left w:val="single" w:color="000000" w:sz="4" w:space="0"/>
              <w:bottom w:val="single" w:color="000000" w:sz="4" w:space="0"/>
              <w:right w:val="single" w:color="000000" w:sz="4" w:space="0"/>
            </w:tcBorders>
          </w:tcPr>
          <w:p w14:paraId="28F605C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6586F54A">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6DBCA51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Bendras plotis</w:t>
            </w:r>
          </w:p>
        </w:tc>
        <w:tc>
          <w:tcPr>
            <w:tcW w:w="3871" w:type="dxa"/>
            <w:tcBorders>
              <w:top w:val="single" w:color="000000" w:sz="4" w:space="0"/>
              <w:left w:val="single" w:color="000000" w:sz="4" w:space="0"/>
              <w:bottom w:val="single" w:color="000000" w:sz="4" w:space="0"/>
              <w:right w:val="single" w:color="000000" w:sz="4" w:space="0"/>
            </w:tcBorders>
            <w:vAlign w:val="center"/>
          </w:tcPr>
          <w:p w14:paraId="79163F4A">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2500 </w:t>
            </w:r>
            <w:r>
              <w:rPr>
                <w:bCs/>
                <w:lang w:val="en-US"/>
              </w:rPr>
              <w:t>+/-</w:t>
            </w:r>
            <w:r>
              <w:rPr>
                <w:bCs/>
                <w:lang w:val="lt-LT"/>
              </w:rPr>
              <w:t xml:space="preserve"> 500 mm</w:t>
            </w:r>
          </w:p>
        </w:tc>
        <w:tc>
          <w:tcPr>
            <w:tcW w:w="2643" w:type="dxa"/>
            <w:tcBorders>
              <w:top w:val="single" w:color="000000" w:sz="4" w:space="0"/>
              <w:left w:val="single" w:color="000000" w:sz="4" w:space="0"/>
              <w:bottom w:val="single" w:color="000000" w:sz="4" w:space="0"/>
              <w:right w:val="single" w:color="000000" w:sz="4" w:space="0"/>
            </w:tcBorders>
          </w:tcPr>
          <w:p w14:paraId="4A618CD9">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0885AAF2">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57CF805">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Bendras aukštis</w:t>
            </w:r>
          </w:p>
        </w:tc>
        <w:tc>
          <w:tcPr>
            <w:tcW w:w="3871" w:type="dxa"/>
            <w:tcBorders>
              <w:top w:val="single" w:color="000000" w:sz="4" w:space="0"/>
              <w:left w:val="single" w:color="000000" w:sz="4" w:space="0"/>
              <w:bottom w:val="single" w:color="000000" w:sz="4" w:space="0"/>
              <w:right w:val="single" w:color="000000" w:sz="4" w:space="0"/>
            </w:tcBorders>
            <w:vAlign w:val="center"/>
          </w:tcPr>
          <w:p w14:paraId="26438D04">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Ne daugiau 3300 mm </w:t>
            </w:r>
          </w:p>
        </w:tc>
        <w:tc>
          <w:tcPr>
            <w:tcW w:w="2643" w:type="dxa"/>
            <w:tcBorders>
              <w:top w:val="single" w:color="000000" w:sz="4" w:space="0"/>
              <w:left w:val="single" w:color="000000" w:sz="4" w:space="0"/>
              <w:bottom w:val="single" w:color="000000" w:sz="4" w:space="0"/>
              <w:right w:val="single" w:color="000000" w:sz="4" w:space="0"/>
            </w:tcBorders>
          </w:tcPr>
          <w:p w14:paraId="169129BA">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39D78D6A">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AFBCD40">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Maksimali bendroji masė</w:t>
            </w:r>
          </w:p>
        </w:tc>
        <w:tc>
          <w:tcPr>
            <w:tcW w:w="3871" w:type="dxa"/>
            <w:tcBorders>
              <w:top w:val="single" w:color="000000" w:sz="4" w:space="0"/>
              <w:left w:val="single" w:color="000000" w:sz="4" w:space="0"/>
              <w:bottom w:val="single" w:color="000000" w:sz="4" w:space="0"/>
              <w:right w:val="single" w:color="000000" w:sz="4" w:space="0"/>
            </w:tcBorders>
            <w:vAlign w:val="center"/>
          </w:tcPr>
          <w:p w14:paraId="78FDC0BA">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Ne daugiau 19000 kg</w:t>
            </w:r>
          </w:p>
        </w:tc>
        <w:tc>
          <w:tcPr>
            <w:tcW w:w="2643" w:type="dxa"/>
            <w:tcBorders>
              <w:top w:val="single" w:color="000000" w:sz="4" w:space="0"/>
              <w:left w:val="single" w:color="000000" w:sz="4" w:space="0"/>
              <w:bottom w:val="single" w:color="000000" w:sz="4" w:space="0"/>
              <w:right w:val="single" w:color="000000" w:sz="4" w:space="0"/>
            </w:tcBorders>
          </w:tcPr>
          <w:p w14:paraId="7843DCE2">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18EC1C93">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D590070">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Ašių skaičius</w:t>
            </w:r>
          </w:p>
        </w:tc>
        <w:tc>
          <w:tcPr>
            <w:tcW w:w="3871" w:type="dxa"/>
            <w:tcBorders>
              <w:top w:val="single" w:color="000000" w:sz="4" w:space="0"/>
              <w:left w:val="single" w:color="000000" w:sz="4" w:space="0"/>
              <w:bottom w:val="single" w:color="000000" w:sz="4" w:space="0"/>
              <w:right w:val="single" w:color="000000" w:sz="4" w:space="0"/>
            </w:tcBorders>
            <w:vAlign w:val="center"/>
          </w:tcPr>
          <w:p w14:paraId="7A7295D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2 (dvi)</w:t>
            </w:r>
          </w:p>
        </w:tc>
        <w:tc>
          <w:tcPr>
            <w:tcW w:w="2643" w:type="dxa"/>
            <w:tcBorders>
              <w:top w:val="single" w:color="000000" w:sz="4" w:space="0"/>
              <w:left w:val="single" w:color="000000" w:sz="4" w:space="0"/>
              <w:bottom w:val="single" w:color="000000" w:sz="4" w:space="0"/>
              <w:right w:val="single" w:color="000000" w:sz="4" w:space="0"/>
            </w:tcBorders>
          </w:tcPr>
          <w:p w14:paraId="18F2591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01C78C72">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3510EC6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Pervežamų keleivių skaičius</w:t>
            </w:r>
          </w:p>
        </w:tc>
        <w:tc>
          <w:tcPr>
            <w:tcW w:w="3871" w:type="dxa"/>
            <w:tcBorders>
              <w:top w:val="single" w:color="000000" w:sz="4" w:space="0"/>
              <w:left w:val="single" w:color="000000" w:sz="4" w:space="0"/>
              <w:bottom w:val="single" w:color="000000" w:sz="4" w:space="0"/>
              <w:right w:val="single" w:color="000000" w:sz="4" w:space="0"/>
            </w:tcBorders>
            <w:vAlign w:val="center"/>
          </w:tcPr>
          <w:p w14:paraId="654ACDD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Ne mažiau  60</w:t>
            </w:r>
          </w:p>
        </w:tc>
        <w:tc>
          <w:tcPr>
            <w:tcW w:w="2643" w:type="dxa"/>
            <w:tcBorders>
              <w:top w:val="single" w:color="000000" w:sz="4" w:space="0"/>
              <w:left w:val="single" w:color="000000" w:sz="4" w:space="0"/>
              <w:bottom w:val="single" w:color="000000" w:sz="4" w:space="0"/>
              <w:right w:val="single" w:color="000000" w:sz="4" w:space="0"/>
            </w:tcBorders>
          </w:tcPr>
          <w:p w14:paraId="41620E1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630C5D62">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5F63B4FF">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Sėdimų vietų skaičius</w:t>
            </w:r>
          </w:p>
        </w:tc>
        <w:tc>
          <w:tcPr>
            <w:tcW w:w="3871" w:type="dxa"/>
            <w:tcBorders>
              <w:top w:val="single" w:color="000000" w:sz="4" w:space="0"/>
              <w:left w:val="single" w:color="000000" w:sz="4" w:space="0"/>
              <w:bottom w:val="single" w:color="000000" w:sz="4" w:space="0"/>
              <w:right w:val="single" w:color="000000" w:sz="4" w:space="0"/>
            </w:tcBorders>
            <w:vAlign w:val="center"/>
          </w:tcPr>
          <w:p w14:paraId="0F2394B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Ne mažiau 45 (neskaitant vairuotojo sėdynės)</w:t>
            </w:r>
          </w:p>
        </w:tc>
        <w:tc>
          <w:tcPr>
            <w:tcW w:w="2643" w:type="dxa"/>
            <w:tcBorders>
              <w:top w:val="single" w:color="000000" w:sz="4" w:space="0"/>
              <w:left w:val="single" w:color="000000" w:sz="4" w:space="0"/>
              <w:bottom w:val="single" w:color="000000" w:sz="4" w:space="0"/>
              <w:right w:val="single" w:color="000000" w:sz="4" w:space="0"/>
            </w:tcBorders>
          </w:tcPr>
          <w:p w14:paraId="6E48ED7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13116B4B">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6C6767F1">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Skirtas žmonėms su negalia</w:t>
            </w:r>
          </w:p>
        </w:tc>
        <w:tc>
          <w:tcPr>
            <w:tcW w:w="3871" w:type="dxa"/>
            <w:tcBorders>
              <w:top w:val="single" w:color="000000" w:sz="4" w:space="0"/>
              <w:left w:val="single" w:color="000000" w:sz="4" w:space="0"/>
              <w:bottom w:val="single" w:color="000000" w:sz="4" w:space="0"/>
              <w:right w:val="single" w:color="000000" w:sz="4" w:space="0"/>
            </w:tcBorders>
            <w:vAlign w:val="center"/>
          </w:tcPr>
          <w:p w14:paraId="560B859B">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en-US"/>
              </w:rPr>
            </w:pPr>
            <w:r>
              <w:rPr>
                <w:bCs/>
                <w:lang w:val="lt-LT"/>
              </w:rPr>
              <w:t>Neįgaliųjų keltuvas ties antromis autobuso durimis. Neįgaliųjų vežimėlio aikštelė su laikikliais autobuso salone kairėje pusėje.</w:t>
            </w:r>
          </w:p>
        </w:tc>
        <w:tc>
          <w:tcPr>
            <w:tcW w:w="2643" w:type="dxa"/>
            <w:tcBorders>
              <w:top w:val="single" w:color="000000" w:sz="4" w:space="0"/>
              <w:left w:val="single" w:color="000000" w:sz="4" w:space="0"/>
              <w:bottom w:val="single" w:color="000000" w:sz="4" w:space="0"/>
              <w:right w:val="single" w:color="000000" w:sz="4" w:space="0"/>
            </w:tcBorders>
          </w:tcPr>
          <w:p w14:paraId="45B4BD7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4A84FB0C">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E4DE9E0">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2. Vairuotojo vieta </w:t>
            </w:r>
          </w:p>
        </w:tc>
        <w:tc>
          <w:tcPr>
            <w:tcW w:w="3871" w:type="dxa"/>
            <w:tcBorders>
              <w:top w:val="single" w:color="000000" w:sz="4" w:space="0"/>
              <w:left w:val="single" w:color="000000" w:sz="4" w:space="0"/>
              <w:bottom w:val="single" w:color="000000" w:sz="4" w:space="0"/>
              <w:right w:val="single" w:color="000000" w:sz="4" w:space="0"/>
            </w:tcBorders>
            <w:vAlign w:val="center"/>
          </w:tcPr>
          <w:p w14:paraId="2E11F0BF">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Vairuotojo vieta atskirta nuo keleivių;</w:t>
            </w:r>
          </w:p>
          <w:p w14:paraId="014D95F9">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Vairuotojo sėdynė: orinė pakaba, šildoma, mechaniškai reguliuojama, reguliuojamas sėdynės atlošas;</w:t>
            </w:r>
          </w:p>
          <w:p w14:paraId="187F28FB">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Daiktadėžė;</w:t>
            </w:r>
          </w:p>
          <w:p w14:paraId="6153EF8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Mikrofonas - privalomas;</w:t>
            </w:r>
          </w:p>
          <w:p w14:paraId="6C18611F">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Garsiakalbis vairuotojo darbo vietoje.</w:t>
            </w:r>
          </w:p>
          <w:p w14:paraId="7E52D36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c>
          <w:tcPr>
            <w:tcW w:w="2643" w:type="dxa"/>
            <w:tcBorders>
              <w:top w:val="single" w:color="000000" w:sz="4" w:space="0"/>
              <w:left w:val="single" w:color="000000" w:sz="4" w:space="0"/>
              <w:bottom w:val="single" w:color="000000" w:sz="4" w:space="0"/>
              <w:right w:val="single" w:color="000000" w:sz="4" w:space="0"/>
            </w:tcBorders>
          </w:tcPr>
          <w:p w14:paraId="531EEEE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0A8C77EC">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6A9FD319">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3.Avariniai išėjimai</w:t>
            </w:r>
          </w:p>
        </w:tc>
        <w:tc>
          <w:tcPr>
            <w:tcW w:w="3871" w:type="dxa"/>
            <w:tcBorders>
              <w:top w:val="single" w:color="000000" w:sz="4" w:space="0"/>
              <w:left w:val="single" w:color="000000" w:sz="4" w:space="0"/>
              <w:bottom w:val="single" w:color="000000" w:sz="4" w:space="0"/>
              <w:right w:val="single" w:color="000000" w:sz="4" w:space="0"/>
            </w:tcBorders>
            <w:vAlign w:val="center"/>
          </w:tcPr>
          <w:p w14:paraId="10725AD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Pažymėti avariniai išėjimai. </w:t>
            </w:r>
          </w:p>
          <w:p w14:paraId="0E1303FB">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Šalia avarinio išėjimo pritvirtinti plaktukai, skirti stiklui sudaužyti.</w:t>
            </w:r>
          </w:p>
        </w:tc>
        <w:tc>
          <w:tcPr>
            <w:tcW w:w="2643" w:type="dxa"/>
            <w:tcBorders>
              <w:top w:val="single" w:color="000000" w:sz="4" w:space="0"/>
              <w:left w:val="single" w:color="000000" w:sz="4" w:space="0"/>
              <w:bottom w:val="single" w:color="000000" w:sz="4" w:space="0"/>
              <w:right w:val="single" w:color="000000" w:sz="4" w:space="0"/>
            </w:tcBorders>
          </w:tcPr>
          <w:p w14:paraId="4EBE72D9">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23265958">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49E15401">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4. Variklis </w:t>
            </w:r>
          </w:p>
        </w:tc>
        <w:tc>
          <w:tcPr>
            <w:tcW w:w="3871" w:type="dxa"/>
            <w:tcBorders>
              <w:top w:val="single" w:color="000000" w:sz="4" w:space="0"/>
              <w:left w:val="single" w:color="000000" w:sz="4" w:space="0"/>
              <w:bottom w:val="single" w:color="000000" w:sz="4" w:space="0"/>
              <w:right w:val="single" w:color="000000" w:sz="4" w:space="0"/>
            </w:tcBorders>
            <w:vAlign w:val="center"/>
          </w:tcPr>
          <w:p w14:paraId="646077D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Variklis sukonstruotas  ir pritaikytas naudoti dyzeliną;</w:t>
            </w:r>
          </w:p>
          <w:p w14:paraId="63E245E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Variklio galia ne mažesnė kaip 260 kw. Išmetimo dujų emisijos lygis ne mažiau EURO 6;</w:t>
            </w:r>
          </w:p>
          <w:p w14:paraId="7AA07DB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Variklio aušinimo sistema turi būti užpildyta aušinimo skysčiu neužšąlančiu iki -32° C arba šaltesniu oru;</w:t>
            </w:r>
          </w:p>
          <w:p w14:paraId="7A04BF28">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Variklis turi užsivesti be papildomos įrangos ar paruošimo, kai transporto priemonė (ir akumuliatorių baterija) yra atšaldyta iki -32°=/+ 2 C temperatūros arba šaltesniu oru. </w:t>
            </w:r>
          </w:p>
        </w:tc>
        <w:tc>
          <w:tcPr>
            <w:tcW w:w="2643" w:type="dxa"/>
            <w:tcBorders>
              <w:top w:val="single" w:color="000000" w:sz="4" w:space="0"/>
              <w:left w:val="single" w:color="000000" w:sz="4" w:space="0"/>
              <w:bottom w:val="single" w:color="000000" w:sz="4" w:space="0"/>
              <w:right w:val="single" w:color="000000" w:sz="4" w:space="0"/>
            </w:tcBorders>
          </w:tcPr>
          <w:p w14:paraId="35EA9641">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5D1F5774">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13E4988">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5. Aplinkosauginis reikalavimas</w:t>
            </w:r>
          </w:p>
        </w:tc>
        <w:tc>
          <w:tcPr>
            <w:tcW w:w="3871" w:type="dxa"/>
            <w:tcBorders>
              <w:top w:val="single" w:color="000000" w:sz="4" w:space="0"/>
              <w:left w:val="single" w:color="000000" w:sz="4" w:space="0"/>
              <w:bottom w:val="single" w:color="000000" w:sz="4" w:space="0"/>
              <w:right w:val="single" w:color="000000" w:sz="4" w:space="0"/>
            </w:tcBorders>
            <w:vAlign w:val="center"/>
          </w:tcPr>
          <w:p w14:paraId="1D97A19A">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Išmetimo dujų emisijos lygis ne mažiau EURO6. Pateikiamas atitikimą patvirtinantis dokumentas su pasiūlymu.</w:t>
            </w:r>
          </w:p>
        </w:tc>
        <w:tc>
          <w:tcPr>
            <w:tcW w:w="2643" w:type="dxa"/>
            <w:tcBorders>
              <w:top w:val="single" w:color="000000" w:sz="4" w:space="0"/>
              <w:left w:val="single" w:color="000000" w:sz="4" w:space="0"/>
              <w:bottom w:val="single" w:color="000000" w:sz="4" w:space="0"/>
              <w:right w:val="single" w:color="000000" w:sz="4" w:space="0"/>
            </w:tcBorders>
          </w:tcPr>
          <w:p w14:paraId="3DBEC86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4FF98536">
        <w:tblPrEx>
          <w:tblCellMar>
            <w:top w:w="0" w:type="dxa"/>
            <w:left w:w="108" w:type="dxa"/>
            <w:bottom w:w="0" w:type="dxa"/>
            <w:right w:w="108" w:type="dxa"/>
          </w:tblCellMar>
        </w:tblPrEx>
        <w:trPr>
          <w:trHeight w:val="510" w:hRule="atLeast"/>
          <w:jc w:val="center"/>
        </w:trPr>
        <w:tc>
          <w:tcPr>
            <w:tcW w:w="2834" w:type="dxa"/>
            <w:tcBorders>
              <w:top w:val="single" w:color="000000" w:sz="4" w:space="0"/>
              <w:left w:val="single" w:color="000000" w:sz="4" w:space="0"/>
              <w:bottom w:val="single" w:color="000000" w:sz="4" w:space="0"/>
            </w:tcBorders>
            <w:vAlign w:val="center"/>
          </w:tcPr>
          <w:p w14:paraId="166AD40F">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6. Autobuso greitis</w:t>
            </w:r>
          </w:p>
        </w:tc>
        <w:tc>
          <w:tcPr>
            <w:tcW w:w="3871" w:type="dxa"/>
            <w:tcBorders>
              <w:top w:val="single" w:color="000000" w:sz="4" w:space="0"/>
              <w:left w:val="single" w:color="000000" w:sz="4" w:space="0"/>
              <w:bottom w:val="single" w:color="000000" w:sz="4" w:space="0"/>
              <w:right w:val="single" w:color="000000" w:sz="4" w:space="0"/>
            </w:tcBorders>
            <w:vAlign w:val="center"/>
          </w:tcPr>
          <w:p w14:paraId="1B5611E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Transporto priemonėje privalo būti greičio ribotuvas, maksimalus greitis apribotas iki 100  km/h.</w:t>
            </w:r>
          </w:p>
        </w:tc>
        <w:tc>
          <w:tcPr>
            <w:tcW w:w="2643" w:type="dxa"/>
            <w:tcBorders>
              <w:top w:val="single" w:color="000000" w:sz="4" w:space="0"/>
              <w:left w:val="single" w:color="000000" w:sz="4" w:space="0"/>
              <w:bottom w:val="single" w:color="000000" w:sz="4" w:space="0"/>
              <w:right w:val="single" w:color="000000" w:sz="4" w:space="0"/>
            </w:tcBorders>
          </w:tcPr>
          <w:p w14:paraId="2C095A55">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662B1E06">
        <w:tblPrEx>
          <w:tblCellMar>
            <w:top w:w="0" w:type="dxa"/>
            <w:left w:w="108" w:type="dxa"/>
            <w:bottom w:w="0" w:type="dxa"/>
            <w:right w:w="108" w:type="dxa"/>
          </w:tblCellMar>
        </w:tblPrEx>
        <w:trPr>
          <w:trHeight w:val="351" w:hRule="atLeast"/>
          <w:jc w:val="center"/>
        </w:trPr>
        <w:tc>
          <w:tcPr>
            <w:tcW w:w="2834" w:type="dxa"/>
            <w:tcBorders>
              <w:top w:val="single" w:color="000000" w:sz="4" w:space="0"/>
              <w:left w:val="single" w:color="000000" w:sz="4" w:space="0"/>
              <w:bottom w:val="single" w:color="000000" w:sz="4" w:space="0"/>
            </w:tcBorders>
          </w:tcPr>
          <w:p w14:paraId="32784E99">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7. Degalų rezervuarai</w:t>
            </w:r>
          </w:p>
        </w:tc>
        <w:tc>
          <w:tcPr>
            <w:tcW w:w="3871" w:type="dxa"/>
            <w:tcBorders>
              <w:top w:val="single" w:color="000000" w:sz="4" w:space="0"/>
              <w:left w:val="single" w:color="000000" w:sz="4" w:space="0"/>
              <w:bottom w:val="single" w:color="000000" w:sz="4" w:space="0"/>
              <w:right w:val="single" w:color="000000" w:sz="4" w:space="0"/>
            </w:tcBorders>
          </w:tcPr>
          <w:p w14:paraId="4C6BFF39">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Kuro bako talpa ne mažesnė nei 200 litrų.</w:t>
            </w:r>
          </w:p>
        </w:tc>
        <w:tc>
          <w:tcPr>
            <w:tcW w:w="2643" w:type="dxa"/>
            <w:tcBorders>
              <w:top w:val="single" w:color="000000" w:sz="4" w:space="0"/>
              <w:left w:val="single" w:color="000000" w:sz="4" w:space="0"/>
              <w:bottom w:val="single" w:color="000000" w:sz="4" w:space="0"/>
              <w:right w:val="single" w:color="000000" w:sz="4" w:space="0"/>
            </w:tcBorders>
          </w:tcPr>
          <w:p w14:paraId="5F791869">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18BBBE2B">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F2BB0B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8. Pavarų dėžė</w:t>
            </w:r>
          </w:p>
        </w:tc>
        <w:tc>
          <w:tcPr>
            <w:tcW w:w="3871" w:type="dxa"/>
            <w:tcBorders>
              <w:top w:val="single" w:color="000000" w:sz="4" w:space="0"/>
              <w:left w:val="single" w:color="000000" w:sz="4" w:space="0"/>
              <w:bottom w:val="single" w:color="000000" w:sz="4" w:space="0"/>
              <w:right w:val="single" w:color="000000" w:sz="4" w:space="0"/>
            </w:tcBorders>
            <w:vAlign w:val="center"/>
          </w:tcPr>
          <w:p w14:paraId="6A27ECFE">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Automatinė.</w:t>
            </w:r>
          </w:p>
        </w:tc>
        <w:tc>
          <w:tcPr>
            <w:tcW w:w="2643" w:type="dxa"/>
            <w:tcBorders>
              <w:top w:val="single" w:color="000000" w:sz="4" w:space="0"/>
              <w:left w:val="single" w:color="000000" w:sz="4" w:space="0"/>
              <w:bottom w:val="single" w:color="000000" w:sz="4" w:space="0"/>
              <w:right w:val="single" w:color="000000" w:sz="4" w:space="0"/>
            </w:tcBorders>
          </w:tcPr>
          <w:p w14:paraId="7C86544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7A8EC299">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757B2EB1">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9. Stabdžių sistema</w:t>
            </w:r>
          </w:p>
        </w:tc>
        <w:tc>
          <w:tcPr>
            <w:tcW w:w="3871" w:type="dxa"/>
            <w:tcBorders>
              <w:top w:val="single" w:color="000000" w:sz="4" w:space="0"/>
              <w:left w:val="single" w:color="000000" w:sz="4" w:space="0"/>
              <w:bottom w:val="single" w:color="000000" w:sz="4" w:space="0"/>
              <w:right w:val="single" w:color="000000" w:sz="4" w:space="0"/>
            </w:tcBorders>
            <w:vAlign w:val="center"/>
          </w:tcPr>
          <w:p w14:paraId="11BB298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Stabdžių sistema turi būti pneumatinė;</w:t>
            </w:r>
          </w:p>
          <w:p w14:paraId="5435B36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Darbiniai stabdžiai dviejų kontūrų su įrengta stabdžių antiblokavimo sistema ABS (angl. anti-lock braking system) ir traukos kontrolės sistema ASR (angl. Anti-Slip Regulation) arba lygiavertės sistemos;</w:t>
            </w:r>
          </w:p>
          <w:p w14:paraId="2B306490">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Stovėjimo stabdis. </w:t>
            </w:r>
          </w:p>
        </w:tc>
        <w:tc>
          <w:tcPr>
            <w:tcW w:w="2643" w:type="dxa"/>
            <w:tcBorders>
              <w:top w:val="single" w:color="000000" w:sz="4" w:space="0"/>
              <w:left w:val="single" w:color="000000" w:sz="4" w:space="0"/>
              <w:bottom w:val="single" w:color="000000" w:sz="4" w:space="0"/>
              <w:right w:val="single" w:color="000000" w:sz="4" w:space="0"/>
            </w:tcBorders>
          </w:tcPr>
          <w:p w14:paraId="11ADFC70">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0A6E3126">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51CC6310">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10, Elektros įranga</w:t>
            </w:r>
          </w:p>
        </w:tc>
        <w:tc>
          <w:tcPr>
            <w:tcW w:w="3871" w:type="dxa"/>
            <w:tcBorders>
              <w:top w:val="single" w:color="000000" w:sz="4" w:space="0"/>
              <w:left w:val="single" w:color="000000" w:sz="4" w:space="0"/>
              <w:bottom w:val="single" w:color="000000" w:sz="4" w:space="0"/>
              <w:right w:val="single" w:color="000000" w:sz="4" w:space="0"/>
            </w:tcBorders>
            <w:vAlign w:val="center"/>
          </w:tcPr>
          <w:p w14:paraId="290143D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Veikimo įtampa 24V;</w:t>
            </w:r>
          </w:p>
          <w:p w14:paraId="30945F94">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Turi būti dvi akumuliatorinės baterijos, kurių kiekvienos talpa ne mažesnė nei 200 Ah;</w:t>
            </w:r>
          </w:p>
          <w:p w14:paraId="47238DC0">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OBD diagnostikos jungtis;</w:t>
            </w:r>
          </w:p>
          <w:p w14:paraId="3A01E88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Gaisro aptikimo sistema variklio skyriuje;</w:t>
            </w:r>
          </w:p>
          <w:p w14:paraId="76432EFA">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Variklio skyriaus apšvietimas.</w:t>
            </w:r>
          </w:p>
        </w:tc>
        <w:tc>
          <w:tcPr>
            <w:tcW w:w="2643" w:type="dxa"/>
            <w:tcBorders>
              <w:top w:val="single" w:color="000000" w:sz="4" w:space="0"/>
              <w:left w:val="single" w:color="000000" w:sz="4" w:space="0"/>
              <w:bottom w:val="single" w:color="000000" w:sz="4" w:space="0"/>
              <w:right w:val="single" w:color="000000" w:sz="4" w:space="0"/>
            </w:tcBorders>
          </w:tcPr>
          <w:p w14:paraId="31CEB74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1F4B604D">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406029E4">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11. Salono apšvietimas</w:t>
            </w:r>
          </w:p>
        </w:tc>
        <w:tc>
          <w:tcPr>
            <w:tcW w:w="3871" w:type="dxa"/>
            <w:tcBorders>
              <w:top w:val="single" w:color="000000" w:sz="4" w:space="0"/>
              <w:left w:val="single" w:color="000000" w:sz="4" w:space="0"/>
              <w:bottom w:val="single" w:color="000000" w:sz="4" w:space="0"/>
              <w:right w:val="single" w:color="000000" w:sz="4" w:space="0"/>
            </w:tcBorders>
            <w:vAlign w:val="center"/>
          </w:tcPr>
          <w:p w14:paraId="4433D450">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Atskiras apšvietimas vairuotojo darbo vietoje;</w:t>
            </w:r>
          </w:p>
          <w:p w14:paraId="1364DBA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Mažai energijos eikvojantis vidaus apšvietimas (varikliui nedirbant).</w:t>
            </w:r>
          </w:p>
        </w:tc>
        <w:tc>
          <w:tcPr>
            <w:tcW w:w="2643" w:type="dxa"/>
            <w:tcBorders>
              <w:top w:val="single" w:color="000000" w:sz="4" w:space="0"/>
              <w:left w:val="single" w:color="000000" w:sz="4" w:space="0"/>
              <w:bottom w:val="single" w:color="000000" w:sz="4" w:space="0"/>
              <w:right w:val="single" w:color="000000" w:sz="4" w:space="0"/>
            </w:tcBorders>
          </w:tcPr>
          <w:p w14:paraId="3108CC00">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71E02C95">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29BA1A2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12. Pakaba </w:t>
            </w:r>
          </w:p>
        </w:tc>
        <w:tc>
          <w:tcPr>
            <w:tcW w:w="3871" w:type="dxa"/>
            <w:tcBorders>
              <w:top w:val="single" w:color="000000" w:sz="4" w:space="0"/>
              <w:left w:val="single" w:color="000000" w:sz="4" w:space="0"/>
              <w:bottom w:val="single" w:color="000000" w:sz="4" w:space="0"/>
              <w:right w:val="single" w:color="000000" w:sz="4" w:space="0"/>
            </w:tcBorders>
            <w:vAlign w:val="center"/>
          </w:tcPr>
          <w:p w14:paraId="638A1C2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Orinė pakaba su elektronine lygio kontrole (ENR) arba lygiavert;</w:t>
            </w:r>
          </w:p>
          <w:p w14:paraId="44665FFA">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Išmetimo vamzdis dešinėje pusėje nukreiptas į kelio paviršių arba kairėje pusėje viršuje;</w:t>
            </w:r>
          </w:p>
          <w:p w14:paraId="267CDDE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Priekinės ašies stabilizatorius;</w:t>
            </w:r>
          </w:p>
          <w:p w14:paraId="1F5A9A5A">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Galinės ašies stabilizatorius.</w:t>
            </w:r>
          </w:p>
        </w:tc>
        <w:tc>
          <w:tcPr>
            <w:tcW w:w="2643" w:type="dxa"/>
            <w:tcBorders>
              <w:top w:val="single" w:color="000000" w:sz="4" w:space="0"/>
              <w:left w:val="single" w:color="000000" w:sz="4" w:space="0"/>
              <w:bottom w:val="single" w:color="000000" w:sz="4" w:space="0"/>
              <w:right w:val="single" w:color="000000" w:sz="4" w:space="0"/>
            </w:tcBorders>
          </w:tcPr>
          <w:p w14:paraId="05229DD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123B4B62">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401B51AE">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13. Kėbulas </w:t>
            </w:r>
          </w:p>
        </w:tc>
        <w:tc>
          <w:tcPr>
            <w:tcW w:w="3871" w:type="dxa"/>
            <w:tcBorders>
              <w:top w:val="single" w:color="000000" w:sz="4" w:space="0"/>
              <w:left w:val="single" w:color="000000" w:sz="4" w:space="0"/>
              <w:bottom w:val="single" w:color="000000" w:sz="4" w:space="0"/>
              <w:right w:val="single" w:color="000000" w:sz="4" w:space="0"/>
            </w:tcBorders>
            <w:vAlign w:val="center"/>
          </w:tcPr>
          <w:p w14:paraId="73195C4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Visi kėbulo elementai pagaminti iš ilgaamžiškų, korozijai atsparių, medžiagų;</w:t>
            </w:r>
          </w:p>
          <w:p w14:paraId="2EF6B284">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Kėbulas padengtas antikorozine danga;</w:t>
            </w:r>
          </w:p>
          <w:p w14:paraId="492B42C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Šoninių kėbulo sienų šilumos ir garso izoliacija;</w:t>
            </w:r>
          </w:p>
          <w:p w14:paraId="1BAE8BF1">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Vilkimo kilpa.</w:t>
            </w:r>
          </w:p>
        </w:tc>
        <w:tc>
          <w:tcPr>
            <w:tcW w:w="2643" w:type="dxa"/>
            <w:tcBorders>
              <w:top w:val="single" w:color="000000" w:sz="4" w:space="0"/>
              <w:left w:val="single" w:color="000000" w:sz="4" w:space="0"/>
              <w:bottom w:val="single" w:color="000000" w:sz="4" w:space="0"/>
              <w:right w:val="single" w:color="000000" w:sz="4" w:space="0"/>
            </w:tcBorders>
          </w:tcPr>
          <w:p w14:paraId="035540B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7D3FFF59">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07C7B63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14. Langai, veidrodžiai</w:t>
            </w:r>
          </w:p>
        </w:tc>
        <w:tc>
          <w:tcPr>
            <w:tcW w:w="3871" w:type="dxa"/>
            <w:tcBorders>
              <w:top w:val="single" w:color="000000" w:sz="4" w:space="0"/>
              <w:left w:val="single" w:color="000000" w:sz="4" w:space="0"/>
              <w:bottom w:val="single" w:color="000000" w:sz="4" w:space="0"/>
              <w:right w:val="single" w:color="000000" w:sz="4" w:space="0"/>
            </w:tcBorders>
            <w:vAlign w:val="center"/>
          </w:tcPr>
          <w:p w14:paraId="13A6E82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Priekinis stiklas su apsauga nuo saulės stiklo viršuje;</w:t>
            </w:r>
          </w:p>
          <w:p w14:paraId="0524D72B">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Šildomi ir elektra reguliuojami išorės veidrodžiai;</w:t>
            </w:r>
          </w:p>
          <w:p w14:paraId="715F4C88">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Vidinis veidrodis prie vairuotojo;</w:t>
            </w:r>
          </w:p>
          <w:p w14:paraId="7007FB48">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Saulės apsauga ant vairuotojo stiklo.</w:t>
            </w:r>
          </w:p>
        </w:tc>
        <w:tc>
          <w:tcPr>
            <w:tcW w:w="2643" w:type="dxa"/>
            <w:tcBorders>
              <w:top w:val="single" w:color="000000" w:sz="4" w:space="0"/>
              <w:left w:val="single" w:color="000000" w:sz="4" w:space="0"/>
              <w:bottom w:val="single" w:color="000000" w:sz="4" w:space="0"/>
              <w:right w:val="single" w:color="000000" w:sz="4" w:space="0"/>
            </w:tcBorders>
          </w:tcPr>
          <w:p w14:paraId="35303502">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65D4742F">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1B3405D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15. Oro kondicionierius, šildymas, ventiliacija</w:t>
            </w:r>
          </w:p>
        </w:tc>
        <w:tc>
          <w:tcPr>
            <w:tcW w:w="3871" w:type="dxa"/>
            <w:tcBorders>
              <w:top w:val="single" w:color="000000" w:sz="4" w:space="0"/>
              <w:left w:val="single" w:color="000000" w:sz="4" w:space="0"/>
              <w:bottom w:val="single" w:color="000000" w:sz="4" w:space="0"/>
              <w:right w:val="single" w:color="000000" w:sz="4" w:space="0"/>
            </w:tcBorders>
            <w:vAlign w:val="center"/>
          </w:tcPr>
          <w:p w14:paraId="35D0394F">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Šildymo ir ventiliacijos sistemos – privalomos;</w:t>
            </w:r>
          </w:p>
          <w:p w14:paraId="10335462">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Šildymas su šoniniais sienų radiatoriais su karšto/ar šaltu oru; </w:t>
            </w:r>
          </w:p>
          <w:p w14:paraId="1C38EE6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Papildomas šildytuvas „Webasto“ (Webasto – tai autonominio šildymo sistema, naudojama autobusuose), arba lygiavertis; </w:t>
            </w:r>
          </w:p>
          <w:p w14:paraId="4F1F6F4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Vairuotojo darbo vietos oro kondicionavimo sistema;</w:t>
            </w:r>
          </w:p>
          <w:p w14:paraId="03FC48DE">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Stogo kondicionavimo sistema keleiviams, kiekvienai sėdimai vietai atskiri ortakiai;</w:t>
            </w:r>
          </w:p>
          <w:p w14:paraId="008412DE">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Stogo liukai arba stogo ventiliacija.</w:t>
            </w:r>
          </w:p>
        </w:tc>
        <w:tc>
          <w:tcPr>
            <w:tcW w:w="2643" w:type="dxa"/>
            <w:tcBorders>
              <w:top w:val="single" w:color="000000" w:sz="4" w:space="0"/>
              <w:left w:val="single" w:color="000000" w:sz="4" w:space="0"/>
              <w:bottom w:val="single" w:color="000000" w:sz="4" w:space="0"/>
              <w:right w:val="single" w:color="000000" w:sz="4" w:space="0"/>
            </w:tcBorders>
          </w:tcPr>
          <w:p w14:paraId="44A258B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6AFAD818">
        <w:tblPrEx>
          <w:tblCellMar>
            <w:top w:w="0" w:type="dxa"/>
            <w:left w:w="108" w:type="dxa"/>
            <w:bottom w:w="0" w:type="dxa"/>
            <w:right w:w="108" w:type="dxa"/>
          </w:tblCellMar>
        </w:tblPrEx>
        <w:trPr>
          <w:trHeight w:val="2101" w:hRule="atLeast"/>
          <w:jc w:val="center"/>
        </w:trPr>
        <w:tc>
          <w:tcPr>
            <w:tcW w:w="2834" w:type="dxa"/>
            <w:tcBorders>
              <w:top w:val="single" w:color="000000" w:sz="4" w:space="0"/>
              <w:left w:val="single" w:color="000000" w:sz="4" w:space="0"/>
              <w:bottom w:val="single" w:color="000000" w:sz="4" w:space="0"/>
            </w:tcBorders>
            <w:vAlign w:val="center"/>
          </w:tcPr>
          <w:p w14:paraId="227A2F5B">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16. Išorinės informacijos keleiviams priemonės</w:t>
            </w:r>
          </w:p>
        </w:tc>
        <w:tc>
          <w:tcPr>
            <w:tcW w:w="3871" w:type="dxa"/>
            <w:tcBorders>
              <w:top w:val="single" w:color="000000" w:sz="4" w:space="0"/>
              <w:left w:val="single" w:color="000000" w:sz="4" w:space="0"/>
              <w:bottom w:val="single" w:color="000000" w:sz="4" w:space="0"/>
              <w:right w:val="single" w:color="000000" w:sz="4" w:space="0"/>
            </w:tcBorders>
            <w:vAlign w:val="center"/>
          </w:tcPr>
          <w:p w14:paraId="447773C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Maršruto krypties displėjai:</w:t>
            </w:r>
          </w:p>
          <w:p w14:paraId="35A24CBA">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autobuso priekyje – privalomas;</w:t>
            </w:r>
          </w:p>
          <w:p w14:paraId="2E66397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autobuso dešinėje pusėje – privalomas.</w:t>
            </w:r>
          </w:p>
          <w:p w14:paraId="22B73F0F">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c>
          <w:tcPr>
            <w:tcW w:w="2643" w:type="dxa"/>
            <w:tcBorders>
              <w:top w:val="single" w:color="000000" w:sz="4" w:space="0"/>
              <w:left w:val="single" w:color="000000" w:sz="4" w:space="0"/>
              <w:bottom w:val="single" w:color="000000" w:sz="4" w:space="0"/>
              <w:right w:val="single" w:color="000000" w:sz="4" w:space="0"/>
            </w:tcBorders>
          </w:tcPr>
          <w:p w14:paraId="57D8B51E">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323386FB">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tcPr>
          <w:p w14:paraId="34411305">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17. Durų konfigūracija</w:t>
            </w:r>
          </w:p>
        </w:tc>
        <w:tc>
          <w:tcPr>
            <w:tcW w:w="3871" w:type="dxa"/>
            <w:tcBorders>
              <w:top w:val="single" w:color="000000" w:sz="4" w:space="0"/>
              <w:left w:val="single" w:color="000000" w:sz="4" w:space="0"/>
              <w:bottom w:val="single" w:color="000000" w:sz="4" w:space="0"/>
              <w:right w:val="single" w:color="000000" w:sz="4" w:space="0"/>
            </w:tcBorders>
            <w:vAlign w:val="center"/>
          </w:tcPr>
          <w:p w14:paraId="3F837BD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Į vidų atsidarančios durys išdėstytos dešinėje autobuso pusėje 1-1 arba 1-2.</w:t>
            </w:r>
          </w:p>
        </w:tc>
        <w:tc>
          <w:tcPr>
            <w:tcW w:w="2643" w:type="dxa"/>
            <w:tcBorders>
              <w:top w:val="single" w:color="000000" w:sz="4" w:space="0"/>
              <w:left w:val="single" w:color="000000" w:sz="4" w:space="0"/>
              <w:bottom w:val="single" w:color="000000" w:sz="4" w:space="0"/>
              <w:right w:val="single" w:color="000000" w:sz="4" w:space="0"/>
            </w:tcBorders>
          </w:tcPr>
          <w:p w14:paraId="071EE46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6B9C4759">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7DCE1FC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18. Durų valdymas</w:t>
            </w:r>
          </w:p>
        </w:tc>
        <w:tc>
          <w:tcPr>
            <w:tcW w:w="3871" w:type="dxa"/>
            <w:tcBorders>
              <w:top w:val="single" w:color="000000" w:sz="4" w:space="0"/>
              <w:left w:val="single" w:color="000000" w:sz="4" w:space="0"/>
              <w:bottom w:val="single" w:color="000000" w:sz="4" w:space="0"/>
              <w:right w:val="single" w:color="000000" w:sz="4" w:space="0"/>
            </w:tcBorders>
            <w:vAlign w:val="center"/>
          </w:tcPr>
          <w:p w14:paraId="67A5F1E7">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Tvirtas ir saugus užsidarymas;</w:t>
            </w:r>
          </w:p>
          <w:p w14:paraId="643E183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Apsauga nuo keleivių prispaudimo;</w:t>
            </w:r>
          </w:p>
          <w:p w14:paraId="3D34B68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Valdymas iš vairuotojo darbo vietos;</w:t>
            </w:r>
          </w:p>
          <w:p w14:paraId="2A4B0EC5">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Galimybė valdyti tik iš vairuotojo darbo vietos;</w:t>
            </w:r>
          </w:p>
          <w:p w14:paraId="1C82581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Durų užraktai;</w:t>
            </w:r>
          </w:p>
          <w:p w14:paraId="4F7AFB05">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Avariniai vožtuvai prie durų išorės;</w:t>
            </w:r>
          </w:p>
          <w:p w14:paraId="3BFCC848">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Avarinis vožtuvas su dangteliu autobuso viduje.</w:t>
            </w:r>
          </w:p>
        </w:tc>
        <w:tc>
          <w:tcPr>
            <w:tcW w:w="2643" w:type="dxa"/>
            <w:tcBorders>
              <w:top w:val="single" w:color="000000" w:sz="4" w:space="0"/>
              <w:left w:val="single" w:color="000000" w:sz="4" w:space="0"/>
              <w:bottom w:val="single" w:color="000000" w:sz="4" w:space="0"/>
              <w:right w:val="single" w:color="000000" w:sz="4" w:space="0"/>
            </w:tcBorders>
          </w:tcPr>
          <w:p w14:paraId="09A82525">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564B8302">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656A0F5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19. Grindų danga</w:t>
            </w:r>
          </w:p>
        </w:tc>
        <w:tc>
          <w:tcPr>
            <w:tcW w:w="3871" w:type="dxa"/>
            <w:tcBorders>
              <w:top w:val="single" w:color="000000" w:sz="4" w:space="0"/>
              <w:left w:val="single" w:color="000000" w:sz="4" w:space="0"/>
              <w:bottom w:val="single" w:color="000000" w:sz="4" w:space="0"/>
              <w:right w:val="single" w:color="000000" w:sz="4" w:space="0"/>
            </w:tcBorders>
            <w:vAlign w:val="center"/>
          </w:tcPr>
          <w:p w14:paraId="30DAD5DE">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Neslidi, atspari dilimui grindų danga.</w:t>
            </w:r>
          </w:p>
        </w:tc>
        <w:tc>
          <w:tcPr>
            <w:tcW w:w="2643" w:type="dxa"/>
            <w:tcBorders>
              <w:top w:val="single" w:color="000000" w:sz="4" w:space="0"/>
              <w:left w:val="single" w:color="000000" w:sz="4" w:space="0"/>
              <w:bottom w:val="single" w:color="000000" w:sz="4" w:space="0"/>
              <w:right w:val="single" w:color="000000" w:sz="4" w:space="0"/>
            </w:tcBorders>
          </w:tcPr>
          <w:p w14:paraId="77FBEBD1">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619D1054">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29EDCA01">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 xml:space="preserve">20. Ratai ir padangos </w:t>
            </w:r>
          </w:p>
        </w:tc>
        <w:tc>
          <w:tcPr>
            <w:tcW w:w="3871" w:type="dxa"/>
            <w:tcBorders>
              <w:top w:val="single" w:color="000000" w:sz="4" w:space="0"/>
              <w:left w:val="single" w:color="000000" w:sz="4" w:space="0"/>
              <w:bottom w:val="single" w:color="000000" w:sz="4" w:space="0"/>
              <w:right w:val="single" w:color="000000" w:sz="4" w:space="0"/>
            </w:tcBorders>
            <w:vAlign w:val="center"/>
          </w:tcPr>
          <w:p w14:paraId="226B5FE2">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Plieniniai ratlankiai;</w:t>
            </w:r>
          </w:p>
          <w:p w14:paraId="0C4A1A93">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Ratų gaubtai;</w:t>
            </w:r>
          </w:p>
          <w:p w14:paraId="11EA3918">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Padangos be kamerinės, skirtos eksploatuoti mieste.</w:t>
            </w:r>
          </w:p>
        </w:tc>
        <w:tc>
          <w:tcPr>
            <w:tcW w:w="2643" w:type="dxa"/>
            <w:tcBorders>
              <w:top w:val="single" w:color="000000" w:sz="4" w:space="0"/>
              <w:left w:val="single" w:color="000000" w:sz="4" w:space="0"/>
              <w:bottom w:val="single" w:color="000000" w:sz="4" w:space="0"/>
              <w:right w:val="single" w:color="000000" w:sz="4" w:space="0"/>
            </w:tcBorders>
          </w:tcPr>
          <w:p w14:paraId="152C0A88">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r w14:paraId="559A9A89">
        <w:tblPrEx>
          <w:tblCellMar>
            <w:top w:w="0" w:type="dxa"/>
            <w:left w:w="108" w:type="dxa"/>
            <w:bottom w:w="0" w:type="dxa"/>
            <w:right w:w="108" w:type="dxa"/>
          </w:tblCellMar>
        </w:tblPrEx>
        <w:trPr>
          <w:jc w:val="center"/>
        </w:trPr>
        <w:tc>
          <w:tcPr>
            <w:tcW w:w="2834" w:type="dxa"/>
            <w:tcBorders>
              <w:top w:val="single" w:color="000000" w:sz="4" w:space="0"/>
              <w:left w:val="single" w:color="000000" w:sz="4" w:space="0"/>
              <w:bottom w:val="single" w:color="000000" w:sz="4" w:space="0"/>
            </w:tcBorders>
            <w:vAlign w:val="center"/>
          </w:tcPr>
          <w:p w14:paraId="618852B6">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21. Vidaus įranga</w:t>
            </w:r>
          </w:p>
        </w:tc>
        <w:tc>
          <w:tcPr>
            <w:tcW w:w="3871" w:type="dxa"/>
            <w:tcBorders>
              <w:top w:val="single" w:color="000000" w:sz="4" w:space="0"/>
              <w:left w:val="single" w:color="000000" w:sz="4" w:space="0"/>
              <w:bottom w:val="single" w:color="000000" w:sz="4" w:space="0"/>
              <w:right w:val="single" w:color="000000" w:sz="4" w:space="0"/>
            </w:tcBorders>
            <w:vAlign w:val="center"/>
          </w:tcPr>
          <w:p w14:paraId="45D9F50C">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r>
              <w:rPr>
                <w:bCs/>
                <w:lang w:val="lt-LT"/>
              </w:rPr>
              <w:t>Sėdynės turi būti pagamintos paminkštintomis sėdimosiomis dalimis, patikimai pritvirtintos ir netrukdyti keleivių judėjimui. Kiekvienoje sėdimojoje vietoje turi būti įrengtas saugos diržas. Autobuse turi būti įrengti horizontalūs turėklai, o virš keleivių sėdimųjų vietų – lentynos arba daiktadėžės rankiniam bagažui ir asmeniniams daiktams saugiai susidėti.</w:t>
            </w:r>
          </w:p>
        </w:tc>
        <w:tc>
          <w:tcPr>
            <w:tcW w:w="2643" w:type="dxa"/>
            <w:tcBorders>
              <w:top w:val="single" w:color="000000" w:sz="4" w:space="0"/>
              <w:left w:val="single" w:color="000000" w:sz="4" w:space="0"/>
              <w:bottom w:val="single" w:color="000000" w:sz="4" w:space="0"/>
              <w:right w:val="single" w:color="000000" w:sz="4" w:space="0"/>
            </w:tcBorders>
          </w:tcPr>
          <w:p w14:paraId="7834ECDD">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tc>
      </w:tr>
    </w:tbl>
    <w:p w14:paraId="2727570F">
      <w:pPr>
        <w:widowControl w:val="0"/>
        <w:pBdr>
          <w:top w:val="none" w:color="000000" w:sz="0" w:space="0"/>
          <w:left w:val="none" w:color="000000" w:sz="0" w:space="0"/>
          <w:bottom w:val="none" w:color="000000" w:sz="0" w:space="0"/>
          <w:right w:val="none" w:color="000000" w:sz="0" w:space="0"/>
          <w:between w:val="none" w:color="000000" w:sz="0" w:space="0"/>
        </w:pBdr>
        <w:jc w:val="both"/>
        <w:rPr>
          <w:bCs/>
          <w:lang w:val="lt-LT"/>
        </w:rPr>
      </w:pPr>
    </w:p>
    <w:p w14:paraId="36607140">
      <w:pPr>
        <w:widowControl w:val="0"/>
        <w:pBdr>
          <w:top w:val="none" w:color="000000" w:sz="0" w:space="0"/>
          <w:left w:val="none" w:color="000000" w:sz="0" w:space="0"/>
          <w:bottom w:val="none" w:color="000000" w:sz="0" w:space="0"/>
          <w:right w:val="none" w:color="000000" w:sz="0" w:space="0"/>
          <w:between w:val="none" w:color="000000" w:sz="0" w:space="0"/>
        </w:pBdr>
        <w:jc w:val="both"/>
        <w:rPr>
          <w:lang w:val="lt-LT"/>
        </w:rPr>
      </w:pPr>
    </w:p>
    <w:p w14:paraId="5CDBBDFE">
      <w:pPr>
        <w:widowControl w:val="0"/>
        <w:pBdr>
          <w:top w:val="none" w:color="000000" w:sz="0" w:space="0"/>
          <w:left w:val="none" w:color="000000" w:sz="0" w:space="0"/>
          <w:bottom w:val="none" w:color="000000" w:sz="0" w:space="0"/>
          <w:right w:val="none" w:color="000000" w:sz="0" w:space="0"/>
          <w:between w:val="none" w:color="000000" w:sz="0" w:space="0"/>
        </w:pBdr>
        <w:jc w:val="both"/>
        <w:rPr>
          <w:lang w:val="lt-LT"/>
        </w:rPr>
      </w:pPr>
    </w:p>
    <w:p w14:paraId="292AF500">
      <w:pPr>
        <w:widowControl w:val="0"/>
        <w:pBdr>
          <w:top w:val="none" w:color="000000" w:sz="0" w:space="0"/>
          <w:left w:val="none" w:color="000000" w:sz="0" w:space="0"/>
          <w:bottom w:val="none" w:color="000000" w:sz="0" w:space="0"/>
          <w:right w:val="none" w:color="000000" w:sz="0" w:space="0"/>
          <w:between w:val="none" w:color="000000" w:sz="0" w:space="0"/>
        </w:pBdr>
        <w:jc w:val="both"/>
        <w:rPr>
          <w:lang w:val="lt-LT"/>
        </w:rPr>
      </w:pPr>
    </w:p>
    <w:p w14:paraId="3EAF7140">
      <w:pPr>
        <w:widowControl w:val="0"/>
        <w:pBdr>
          <w:top w:val="none" w:color="000000" w:sz="0" w:space="0"/>
          <w:left w:val="none" w:color="000000" w:sz="0" w:space="0"/>
          <w:bottom w:val="none" w:color="000000" w:sz="0" w:space="0"/>
          <w:right w:val="none" w:color="000000" w:sz="0" w:space="0"/>
          <w:between w:val="none" w:color="000000" w:sz="0" w:space="0"/>
        </w:pBdr>
        <w:jc w:val="both"/>
        <w:rPr>
          <w:lang w:val="lt-LT"/>
        </w:rPr>
      </w:pPr>
    </w:p>
    <w:p w14:paraId="00000311">
      <w:pPr>
        <w:keepNext/>
        <w:keepLines/>
        <w:pBdr>
          <w:top w:val="none" w:color="000000" w:sz="0" w:space="0"/>
          <w:left w:val="none" w:color="000000" w:sz="0" w:space="0"/>
          <w:bottom w:val="none" w:color="000000" w:sz="0" w:space="0"/>
          <w:right w:val="none" w:color="000000" w:sz="0" w:space="0"/>
          <w:between w:val="none" w:color="000000" w:sz="0" w:space="0"/>
        </w:pBdr>
        <w:spacing w:before="160" w:after="80"/>
        <w:ind w:left="5103"/>
        <w:rPr>
          <w:color w:val="000000"/>
        </w:rPr>
      </w:pPr>
      <w:bookmarkStart w:id="19" w:name="bookmark=id.6r5jyueqzkvh" w:colFirst="0" w:colLast="0"/>
      <w:bookmarkEnd w:id="19"/>
      <w:r>
        <w:rPr>
          <w:color w:val="000000"/>
        </w:rPr>
        <w:t>Pirkimo sąlygų 3 priedas „tiekėjų pašalinimo pagrindai“</w:t>
      </w:r>
    </w:p>
    <w:p w14:paraId="00000312">
      <w:pPr>
        <w:pBdr>
          <w:top w:val="none" w:color="000000" w:sz="0" w:space="0"/>
          <w:left w:val="none" w:color="000000" w:sz="0" w:space="0"/>
          <w:bottom w:val="none" w:color="000000" w:sz="0" w:space="0"/>
          <w:right w:val="none" w:color="000000" w:sz="0" w:space="0"/>
          <w:between w:val="none" w:color="000000" w:sz="0" w:space="0"/>
        </w:pBdr>
        <w:jc w:val="center"/>
        <w:rPr>
          <w:b/>
          <w:smallCaps/>
          <w:color w:val="000000"/>
        </w:rPr>
      </w:pPr>
    </w:p>
    <w:p w14:paraId="00000313">
      <w:pPr>
        <w:pBdr>
          <w:top w:val="none" w:color="000000" w:sz="0" w:space="0"/>
          <w:left w:val="none" w:color="000000" w:sz="0" w:space="0"/>
          <w:bottom w:val="none" w:color="000000" w:sz="0" w:space="0"/>
          <w:right w:val="none" w:color="000000" w:sz="0" w:space="0"/>
          <w:between w:val="none" w:color="000000" w:sz="0" w:space="0"/>
        </w:pBdr>
        <w:jc w:val="center"/>
        <w:rPr>
          <w:color w:val="595959"/>
        </w:rPr>
      </w:pPr>
      <w:r>
        <w:rPr>
          <w:color w:val="595959"/>
        </w:rPr>
        <w:t>TIEKĖJŲ PAŠALINIMO PAGRINDAI</w:t>
      </w:r>
    </w:p>
    <w:p w14:paraId="00000314">
      <w:pPr>
        <w:numPr>
          <w:ilvl w:val="0"/>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lang w:val="fi-FI"/>
        </w:rPr>
      </w:pPr>
      <w:r>
        <w:rPr>
          <w:b/>
          <w:color w:val="000000"/>
          <w:lang w:val="fi-FI"/>
        </w:rPr>
        <w:t>Su pasiūlymu teikiamas tik EBVPD</w:t>
      </w:r>
      <w:r>
        <w:rPr>
          <w:color w:val="000000"/>
          <w:lang w:val="fi-FI"/>
        </w:rPr>
        <w:t xml:space="preserve">.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00000315">
      <w:pPr>
        <w:numPr>
          <w:ilvl w:val="0"/>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color w:val="000000"/>
          <w:lang w:val="fi-FI"/>
        </w:rPr>
      </w:pPr>
      <w:r>
        <w:rPr>
          <w:color w:val="000000"/>
          <w:lang w:val="fi-FI"/>
        </w:rPr>
        <w:t xml:space="preserve">Pašalinimo pagrindai taikomi tiekėjui (kai pasiūlymą teikia ūkio subjektų grupė – visiems tos grupės nariams) ir ūkio subjektams, kurių pajėgumais tiekėjas remiasi. </w:t>
      </w:r>
    </w:p>
    <w:p w14:paraId="00000316">
      <w:pPr>
        <w:numPr>
          <w:ilvl w:val="0"/>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lang w:val="fi-FI"/>
        </w:rPr>
      </w:pPr>
      <w:r>
        <w:rPr>
          <w:color w:val="000000"/>
          <w:lang w:val="fi-FI"/>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00000317">
      <w:pPr>
        <w:numPr>
          <w:ilvl w:val="0"/>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color w:val="000000"/>
          <w:lang w:val="fi-FI"/>
        </w:rPr>
      </w:pPr>
      <w:r>
        <w:rPr>
          <w:color w:val="000000"/>
          <w:lang w:val="fi-FI"/>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0000318">
      <w:pPr>
        <w:numPr>
          <w:ilvl w:val="0"/>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lang w:val="fi-FI"/>
        </w:rPr>
      </w:pPr>
      <w:r>
        <w:rPr>
          <w:color w:val="000000"/>
          <w:lang w:val="fi-FI"/>
        </w:rPr>
        <w:t xml:space="preserve">Užsienio šalių tiekėjai pateikia tose šalyse kompetentingų oficialių institucijų išduodamus dokumentus. Perkančioji organizacija 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Perkančioji organizacija pasitikrina „e-Certis“, adresu </w:t>
      </w:r>
      <w:r>
        <w:fldChar w:fldCharType="begin"/>
      </w:r>
      <w:r>
        <w:instrText xml:space="preserve"> HYPERLINK "https://ec.europa.eu/tools/ecertis/" \h </w:instrText>
      </w:r>
      <w:r>
        <w:fldChar w:fldCharType="separate"/>
      </w:r>
      <w:r>
        <w:rPr>
          <w:rFonts w:ascii="Calibri" w:hAnsi="Calibri" w:eastAsia="Calibri" w:cs="Calibri"/>
          <w:color w:val="000000"/>
          <w:sz w:val="21"/>
          <w:szCs w:val="21"/>
          <w:lang w:val="fi-FI"/>
        </w:rPr>
        <w:t>https://ec.europa.eu/tools/ecertis/</w:t>
      </w:r>
      <w:r>
        <w:rPr>
          <w:rFonts w:ascii="Calibri" w:hAnsi="Calibri" w:eastAsia="Calibri" w:cs="Calibri"/>
          <w:color w:val="000000"/>
          <w:sz w:val="21"/>
          <w:szCs w:val="21"/>
          <w:lang w:val="fi-FI"/>
        </w:rPr>
        <w:fldChar w:fldCharType="end"/>
      </w:r>
      <w:r>
        <w:rPr>
          <w:color w:val="000000"/>
          <w:lang w:val="fi-FI"/>
        </w:rPr>
        <w:t xml:space="preserve">. </w:t>
      </w:r>
    </w:p>
    <w:p w14:paraId="00000319">
      <w:pPr>
        <w:numPr>
          <w:ilvl w:val="0"/>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color w:val="000000"/>
          <w:lang w:val="fi-FI"/>
        </w:rPr>
      </w:pPr>
      <w:r>
        <w:rPr>
          <w:color w:val="000000"/>
          <w:lang w:val="fi-FI"/>
        </w:rPr>
        <w:t>Perkančioji organizacija nereikalauja iš tiekėjo pateikti dokumentų, patvirtinančių jo pašalinimo pagrindų nebuvimą, jeigu ji:</w:t>
      </w:r>
    </w:p>
    <w:p w14:paraId="0000031A">
      <w:pPr>
        <w:numPr>
          <w:ilvl w:val="1"/>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color w:val="000000"/>
          <w:lang w:val="fi-FI"/>
        </w:rPr>
      </w:pPr>
      <w:r>
        <w:rPr>
          <w:color w:val="000000"/>
          <w:lang w:val="fi-FI"/>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000031B">
      <w:pPr>
        <w:numPr>
          <w:ilvl w:val="1"/>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color w:val="000000"/>
          <w:lang w:val="fi-FI"/>
        </w:rPr>
      </w:pPr>
      <w:r>
        <w:rPr>
          <w:color w:val="000000"/>
          <w:lang w:val="fi-FI"/>
        </w:rPr>
        <w:t>šiuos dokumentus jau turi iš ankstesnių pirkimo procedūrų, jeigu šiuose dokumentuose nurodyta informacija vis dar yra aktuali (dokumentas išduotas prieš ne daugiau dienų, negu nurodyta atitinkamoje žemiau esančios lentelės eilutėje).</w:t>
      </w:r>
    </w:p>
    <w:p w14:paraId="0000031C">
      <w:pPr>
        <w:pBdr>
          <w:top w:val="none" w:color="000000" w:sz="0" w:space="0"/>
          <w:left w:val="none" w:color="000000" w:sz="0" w:space="0"/>
          <w:bottom w:val="none" w:color="000000" w:sz="0" w:space="0"/>
          <w:right w:val="none" w:color="000000" w:sz="0" w:space="0"/>
          <w:between w:val="none" w:color="000000" w:sz="0" w:space="0"/>
        </w:pBdr>
        <w:ind w:left="720"/>
        <w:jc w:val="both"/>
        <w:rPr>
          <w:color w:val="000000"/>
          <w:lang w:val="fi-FI"/>
        </w:rPr>
      </w:pPr>
    </w:p>
    <w:p w14:paraId="0000031D">
      <w:pPr>
        <w:numPr>
          <w:ilvl w:val="0"/>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color w:val="000000"/>
          <w:lang w:val="fi-FI"/>
        </w:rPr>
      </w:pPr>
      <w:r>
        <w:rPr>
          <w:color w:val="000000"/>
          <w:lang w:val="fi-FI"/>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0000031E">
      <w:pPr>
        <w:numPr>
          <w:ilvl w:val="1"/>
          <w:numId w:val="10"/>
        </w:numPr>
        <w:pBdr>
          <w:top w:val="none" w:color="000000" w:sz="0" w:space="0"/>
          <w:left w:val="none" w:color="000000" w:sz="0" w:space="0"/>
          <w:bottom w:val="none" w:color="000000" w:sz="0" w:space="0"/>
          <w:right w:val="none" w:color="000000" w:sz="0" w:space="0"/>
          <w:between w:val="none" w:color="000000" w:sz="0" w:space="0"/>
        </w:pBdr>
        <w:ind w:left="0" w:firstLine="851"/>
        <w:jc w:val="both"/>
        <w:rPr>
          <w:color w:val="000000"/>
        </w:rPr>
      </w:pPr>
      <w:r>
        <w:rPr>
          <w:color w:val="000000"/>
        </w:rPr>
        <w:t>priesaikos deklaracija;</w:t>
      </w:r>
    </w:p>
    <w:p w14:paraId="0000031F">
      <w:pPr>
        <w:pBdr>
          <w:top w:val="none" w:color="000000" w:sz="0" w:space="0"/>
          <w:left w:val="none" w:color="000000" w:sz="0" w:space="0"/>
          <w:bottom w:val="none" w:color="000000" w:sz="0" w:space="0"/>
          <w:right w:val="none" w:color="000000" w:sz="0" w:space="0"/>
          <w:between w:val="none" w:color="000000" w:sz="0" w:space="0"/>
        </w:pBdr>
        <w:ind w:firstLine="851"/>
        <w:jc w:val="both"/>
        <w:rPr>
          <w:color w:val="000000"/>
        </w:rPr>
      </w:pPr>
      <w:r>
        <w:rPr>
          <w:color w:val="000000"/>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Style w:val="135"/>
        <w:tblW w:w="10060" w:type="dxa"/>
        <w:tblInd w:w="0" w:type="dxa"/>
        <w:tblLayout w:type="fixed"/>
        <w:tblCellMar>
          <w:top w:w="0" w:type="dxa"/>
          <w:left w:w="10" w:type="dxa"/>
          <w:bottom w:w="0" w:type="dxa"/>
          <w:right w:w="10" w:type="dxa"/>
        </w:tblCellMar>
      </w:tblPr>
      <w:tblGrid>
        <w:gridCol w:w="900"/>
        <w:gridCol w:w="3631"/>
        <w:gridCol w:w="2268"/>
        <w:gridCol w:w="3261"/>
      </w:tblGrid>
      <w:tr w14:paraId="21EC0F55">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000320">
            <w:pPr>
              <w:pBdr>
                <w:top w:val="none" w:color="000000" w:sz="0" w:space="0"/>
                <w:left w:val="none" w:color="000000" w:sz="0" w:space="0"/>
                <w:bottom w:val="none" w:color="000000" w:sz="0" w:space="0"/>
                <w:right w:val="none" w:color="000000" w:sz="0" w:space="0"/>
                <w:between w:val="none" w:color="000000" w:sz="0" w:space="0"/>
              </w:pBdr>
              <w:ind w:left="32"/>
              <w:jc w:val="center"/>
              <w:rPr>
                <w:b/>
                <w:color w:val="000000"/>
              </w:rPr>
            </w:pPr>
            <w:r>
              <w:rPr>
                <w:b/>
                <w:color w:val="000000"/>
              </w:rPr>
              <w:t>Eil. Nr.</w:t>
            </w: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000321">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b/>
                <w:color w:val="000000"/>
              </w:rPr>
              <w:t>Tiekėjo pašalinimo pagrindai</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000322">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 xml:space="preserve">VPĮ straipsnis,  dalis, punktas bei EBVPD formos dalis pildymui </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0000323">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b/>
                <w:color w:val="000000"/>
              </w:rPr>
              <w:t>Pašalinimo pagrindų nebuvimą įrodantys dokumentai</w:t>
            </w:r>
          </w:p>
        </w:tc>
      </w:tr>
      <w:tr w14:paraId="5660DCB9">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24">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rPr>
                <w:b/>
                <w:color w:val="000000"/>
              </w:rPr>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25">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Tiekėjas arba jo atsakingas asmuo, nurodytas VPĮ 46 straipsnio 2 dalies 2 punkte, nuteistas už šią nusikalstamą veiką:</w:t>
            </w:r>
          </w:p>
          <w:p w14:paraId="00000326">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1) dalyvavimą nusikalstamame susivienijime, jo organizavimą ar vadovavimą jam;</w:t>
            </w:r>
          </w:p>
          <w:p w14:paraId="00000327">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2) kyšininkavimą, prekybą poveikiu, papirkimą;</w:t>
            </w:r>
          </w:p>
          <w:p w14:paraId="00000328">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000032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4) nusikalstamą bankrotą;</w:t>
            </w:r>
          </w:p>
          <w:p w14:paraId="0000032A">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5) teroristinį ir su teroristine veikla susijusį nusikaltimą;</w:t>
            </w:r>
          </w:p>
          <w:p w14:paraId="0000032B">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6) nusikalstamu būdu gauto turto legalizavimą;</w:t>
            </w:r>
          </w:p>
          <w:p w14:paraId="0000032C">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7) prekybą žmonėmis, vaiko pirkimą arba pardavimą;</w:t>
            </w:r>
          </w:p>
          <w:p w14:paraId="0000032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8) kitos valstybės tiekėjo atliktą nusikaltimą, apibrėžtą Direktyvos 2014/24/ES 57 straipsnio 1 dalyje išvardytus Europos Sąjungos teisės aktus įgyvendinančiuose kitų valstybių teisės aktuose.</w:t>
            </w:r>
          </w:p>
          <w:p w14:paraId="072F6897">
            <w:pPr>
              <w:pBdr>
                <w:top w:val="none" w:color="000000" w:sz="0" w:space="0"/>
                <w:left w:val="none" w:color="000000" w:sz="0" w:space="0"/>
                <w:bottom w:val="none" w:color="000000" w:sz="0" w:space="0"/>
                <w:right w:val="none" w:color="000000" w:sz="0" w:space="0"/>
                <w:between w:val="none" w:color="000000" w:sz="0" w:space="0"/>
              </w:pBdr>
              <w:jc w:val="both"/>
              <w:rPr>
                <w:b/>
                <w:bCs/>
                <w:color w:val="000000"/>
                <w:lang w:val="en-US"/>
              </w:rPr>
            </w:pPr>
            <w:r>
              <w:rPr>
                <w:rFonts w:eastAsia="SimSun"/>
                <w:b/>
                <w:bCs/>
                <w:color w:val="000000"/>
              </w:rPr>
              <w:t>Perkančioji organizacija pašalina tiekėją iš pirkimo procedūros, jeigu tiekėjas yra neatlikęs jam paskirtos baudžiamojo poveikio priemonės – uždraudimo juridiniam asmeniui dalyvauti viešuosiuose pirkimuose</w:t>
            </w:r>
            <w:r>
              <w:rPr>
                <w:rFonts w:eastAsia="SimSun"/>
                <w:b/>
                <w:bCs/>
                <w:color w:val="000000"/>
                <w:lang w:val="en-US"/>
              </w:rPr>
              <w:t xml:space="preserve"> VPĮ 46 straipsnio 2</w:t>
            </w:r>
            <w:r>
              <w:rPr>
                <w:rFonts w:eastAsia="SimSun"/>
                <w:b/>
                <w:bCs/>
                <w:color w:val="000000"/>
                <w:vertAlign w:val="superscript"/>
                <w:lang w:val="en-US"/>
              </w:rPr>
              <w:t xml:space="preserve">1 </w:t>
            </w:r>
            <w:r>
              <w:rPr>
                <w:rFonts w:eastAsia="SimSun"/>
                <w:b/>
                <w:bCs/>
                <w:color w:val="000000"/>
                <w:lang w:val="en-US"/>
              </w:rPr>
              <w:t>dalis.</w:t>
            </w:r>
          </w:p>
          <w:p w14:paraId="0000032F">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Laikoma, kad tiekėjas arba jo atsakingas asmuo nuteistas už aukščiau nurodytą nusikalstamą veiką, kai dėl:</w:t>
            </w:r>
          </w:p>
          <w:p w14:paraId="00000330">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1) tiekėjo, kuris yra fizinis asmuo, per pastaruosius 5 metus buvo priimtas ir įsiteisėjęs apkaltinamasis teismo nuosprendis ir šis asmuo turi neišnykusį ar nepanaikintą teistumą;</w:t>
            </w:r>
          </w:p>
          <w:p w14:paraId="00000331">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0000332">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3) tiekėjo, kuris yra juridinis asmuo, kita organizacija ar jos </w:t>
            </w:r>
            <w:r>
              <w:rPr>
                <w:b/>
                <w:color w:val="000000"/>
              </w:rPr>
              <w:t>struktūrinis</w:t>
            </w:r>
            <w:r>
              <w:rPr>
                <w:color w:val="000000"/>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33">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VPĮ 46 straipsnio 1 dalis</w:t>
            </w:r>
          </w:p>
          <w:p w14:paraId="00000334">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35">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EBVPD III dalies A1-A6 punktai</w:t>
            </w:r>
          </w:p>
          <w:p w14:paraId="00000336">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37">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r>
              <w:rPr>
                <w:color w:val="000000"/>
                <w:lang w:val="sv-SE"/>
              </w:rPr>
              <w:t>EBVPD III dalies D1 punktas</w:t>
            </w:r>
          </w:p>
          <w:p w14:paraId="359A15C2">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1FA8D183">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425318ED">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01AF418D">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010B368B">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291F2EE4">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5CB9DB9E">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15A3E486">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11DD052A">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5E9AD93E">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42F3A248">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09137EB5">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1253CAE2">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1492822C">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0D4959F0">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5B6EC408">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3DCCF0C8">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5A91D3A7">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3129CE36">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3CF44178">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23922A22">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5C6511CE">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25AA7D51">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6B417D24">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150E5B7E">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643FA893">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401DABE8">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74A7F141">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591C4DE9">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00EE12E4">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6D8DA243">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5A8D9AFD">
            <w:pPr>
              <w:pBdr>
                <w:top w:val="none" w:color="000000" w:sz="0" w:space="0"/>
                <w:left w:val="none" w:color="000000" w:sz="0" w:space="0"/>
                <w:bottom w:val="none" w:color="000000" w:sz="0" w:space="0"/>
                <w:right w:val="none" w:color="000000" w:sz="0" w:space="0"/>
                <w:between w:val="none" w:color="000000" w:sz="0" w:space="0"/>
              </w:pBdr>
              <w:jc w:val="both"/>
              <w:rPr>
                <w:b/>
                <w:bCs/>
                <w:color w:val="000000"/>
                <w:lang w:val="sv-SE"/>
              </w:rPr>
            </w:pPr>
          </w:p>
          <w:p w14:paraId="34F51687">
            <w:pPr>
              <w:pBdr>
                <w:top w:val="none" w:color="000000" w:sz="0" w:space="0"/>
                <w:left w:val="none" w:color="000000" w:sz="0" w:space="0"/>
                <w:bottom w:val="none" w:color="000000" w:sz="0" w:space="0"/>
                <w:right w:val="none" w:color="000000" w:sz="0" w:space="0"/>
                <w:between w:val="none" w:color="000000" w:sz="0" w:space="0"/>
              </w:pBdr>
              <w:jc w:val="both"/>
              <w:rPr>
                <w:b/>
                <w:bCs/>
                <w:color w:val="000000"/>
                <w:lang w:val="sv-SE"/>
              </w:rPr>
            </w:pPr>
            <w:r>
              <w:rPr>
                <w:b/>
                <w:bCs/>
                <w:color w:val="000000"/>
                <w:lang w:val="sv-SE"/>
              </w:rPr>
              <w:t>EBVPD III dalies D2 punktas</w:t>
            </w:r>
          </w:p>
          <w:p w14:paraId="6654A2A1">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38">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r>
              <w:rPr>
                <w:color w:val="000000"/>
                <w:lang w:val="sv-SE"/>
              </w:rPr>
              <w:t>Iš Lietuvoje įsteigtų subjektų reikalaujama:</w:t>
            </w:r>
          </w:p>
          <w:p w14:paraId="00000339">
            <w:pPr>
              <w:numPr>
                <w:ilvl w:val="0"/>
                <w:numId w:val="12"/>
              </w:numPr>
              <w:pBdr>
                <w:top w:val="none" w:color="000000" w:sz="0" w:space="0"/>
                <w:left w:val="none" w:color="000000" w:sz="0" w:space="0"/>
                <w:bottom w:val="none" w:color="000000" w:sz="0" w:space="0"/>
                <w:right w:val="none" w:color="000000" w:sz="0" w:space="0"/>
                <w:between w:val="none" w:color="000000" w:sz="0" w:space="0"/>
              </w:pBdr>
              <w:ind w:left="314"/>
              <w:jc w:val="both"/>
            </w:pPr>
            <w:r>
              <w:rPr>
                <w:color w:val="000000"/>
              </w:rPr>
              <w:t>išrašo iš teismo sprendimo arba</w:t>
            </w:r>
          </w:p>
          <w:p w14:paraId="0000033A">
            <w:pPr>
              <w:numPr>
                <w:ilvl w:val="0"/>
                <w:numId w:val="12"/>
              </w:numPr>
              <w:pBdr>
                <w:top w:val="none" w:color="000000" w:sz="0" w:space="0"/>
                <w:left w:val="none" w:color="000000" w:sz="0" w:space="0"/>
                <w:bottom w:val="none" w:color="000000" w:sz="0" w:space="0"/>
                <w:right w:val="none" w:color="000000" w:sz="0" w:space="0"/>
                <w:between w:val="none" w:color="000000" w:sz="0" w:space="0"/>
              </w:pBdr>
              <w:ind w:left="314"/>
              <w:jc w:val="both"/>
            </w:pPr>
            <w:r>
              <w:rPr>
                <w:color w:val="000000"/>
              </w:rPr>
              <w:t>Informatikos ir ryšių departamento prie Vidaus reikalų ministerijos pažymos, arba</w:t>
            </w:r>
          </w:p>
          <w:p w14:paraId="0000033B">
            <w:pPr>
              <w:numPr>
                <w:ilvl w:val="0"/>
                <w:numId w:val="12"/>
              </w:numPr>
              <w:pBdr>
                <w:top w:val="none" w:color="000000" w:sz="0" w:space="0"/>
                <w:left w:val="none" w:color="000000" w:sz="0" w:space="0"/>
                <w:bottom w:val="none" w:color="000000" w:sz="0" w:space="0"/>
                <w:right w:val="none" w:color="000000" w:sz="0" w:space="0"/>
                <w:between w:val="none" w:color="000000" w:sz="0" w:space="0"/>
              </w:pBdr>
              <w:ind w:left="314"/>
              <w:jc w:val="both"/>
            </w:pPr>
            <w:r>
              <w:rPr>
                <w:color w:val="000000"/>
              </w:rPr>
              <w:t>valstybės įmonės Registrų centro Lietuvos Respublikos Vyriausybės nustatyta tvarka išduoto dokumento, patvirtinančio jungtinius kompetentingų institucijų tvarkomus duomenis.</w:t>
            </w:r>
          </w:p>
          <w:p w14:paraId="0000033C">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3D">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Iš ne Lietuvoje įsteigtų subjektų reikalaujama:</w:t>
            </w:r>
          </w:p>
          <w:p w14:paraId="0000033E">
            <w:pPr>
              <w:numPr>
                <w:ilvl w:val="0"/>
                <w:numId w:val="12"/>
              </w:numPr>
              <w:pBdr>
                <w:top w:val="none" w:color="000000" w:sz="0" w:space="0"/>
                <w:left w:val="none" w:color="000000" w:sz="0" w:space="0"/>
                <w:bottom w:val="none" w:color="000000" w:sz="0" w:space="0"/>
                <w:right w:val="none" w:color="000000" w:sz="0" w:space="0"/>
                <w:between w:val="none" w:color="000000" w:sz="0" w:space="0"/>
              </w:pBdr>
              <w:ind w:left="314"/>
              <w:jc w:val="both"/>
              <w:rPr>
                <w:lang w:val="fi-FI"/>
              </w:rPr>
            </w:pPr>
            <w:r>
              <w:rPr>
                <w:color w:val="000000"/>
                <w:lang w:val="fi-FI"/>
              </w:rPr>
              <w:t>atitinkamos užsienio šalies institucijos dokumento</w:t>
            </w:r>
            <w:r>
              <w:rPr>
                <w:color w:val="000000"/>
                <w:vertAlign w:val="superscript"/>
              </w:rPr>
              <w:footnoteReference w:id="0"/>
            </w:r>
            <w:r>
              <w:rPr>
                <w:color w:val="000000"/>
                <w:lang w:val="fi-FI"/>
              </w:rPr>
              <w:t>.</w:t>
            </w:r>
          </w:p>
          <w:p w14:paraId="0000033F">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p>
          <w:p w14:paraId="00000340">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 xml:space="preserve">Nurodyti dokumentai turi būti išduoti ne anksčiau kaip 180 dienų iki tos dienos, kai tiekėjas perkančiosios organizacijos prašymu turės pateikti pašalinimo pagrindų nebuvimą patvirtinančius dokumentus. </w:t>
            </w:r>
            <w:r>
              <w:rPr>
                <w:b/>
                <w:i/>
                <w:color w:val="000000"/>
                <w:lang w:val="fi-FI"/>
              </w:rPr>
              <w:t>Pavyzdys</w:t>
            </w:r>
            <w:r>
              <w:rPr>
                <w:i/>
                <w:color w:val="000000"/>
                <w:lang w:val="fi-FI"/>
              </w:rPr>
              <w:t xml:space="preserve">: Jeigu perkančioji organizacija 2022-10-10 kreipėsi į tiekėją prašydama iki 2022-10-14 pateikti įrodančius dokumentus, jie turi būti išduoti ne anksčiau kaip 180 dienų, jas skaičiuojant atgal nuo 2022-10-14. </w:t>
            </w:r>
          </w:p>
          <w:p w14:paraId="00000341">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p w14:paraId="00000342">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Jei dokumentas išduotas anksčiau, tačiau jame nurodytas galiojimo terminas ilgesnis nei pašalinimo pagrindų nebuvimą patvirtinančių dokumentų pagal EBVPD galutinis pateikimo terminas, toks dokumentas jo galiojimo laikotarpiu yra priimtinas.</w:t>
            </w:r>
          </w:p>
          <w:p w14:paraId="00000343">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p w14:paraId="00000344">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tc>
      </w:tr>
      <w:tr w14:paraId="0F80132A">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45">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rPr>
                <w:b/>
                <w:color w:val="000000"/>
                <w:lang w:val="fi-FI"/>
              </w:rPr>
            </w:pPr>
            <w:bookmarkStart w:id="20" w:name="_heading=h.7aghbz5u4kf7" w:colFirst="0" w:colLast="0"/>
            <w:bookmarkEnd w:id="20"/>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46">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0000347">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p w14:paraId="00000348">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Laikoma, kad tiekėjas nuteistas už aukščiau nurodytą nusikalstamą veiką, kai dėl:</w:t>
            </w:r>
          </w:p>
          <w:p w14:paraId="00000349">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1) tiekėjo, kuris yra fizinis asmuo, per pastaruosius 5 metus buvo priimtas ir įsiteisėjęs apkaltinamasis teismo nuosprendis ir šis asmuo turi neišnykusį ar nepanaikintą teistumą;</w:t>
            </w:r>
          </w:p>
          <w:p w14:paraId="0000034A">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 xml:space="preserve">2) tiekėjo, kuris yra juridinis asmuo, kita organizacija ar jos </w:t>
            </w:r>
            <w:r>
              <w:rPr>
                <w:b/>
                <w:color w:val="000000"/>
                <w:lang w:val="fi-FI"/>
              </w:rPr>
              <w:t>struktūrinis</w:t>
            </w:r>
            <w:r>
              <w:rPr>
                <w:color w:val="000000"/>
                <w:lang w:val="fi-FI"/>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000034B">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Tačiau ši nuostata netaikoma, jeigu:</w:t>
            </w:r>
          </w:p>
          <w:p w14:paraId="0000034C">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1) tiekėjas yra įsipareigojęs sumokėti mokesčius, įskaitant socialinio draudimo įmokas ir dėl to laikomas jau įvykdžiusiu šioje dalyje nurodytus įsipareigojimus;</w:t>
            </w:r>
          </w:p>
          <w:p w14:paraId="0000034D">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2) įsiskolinimo suma neviršija 50 Eur (penkiasdešimt eurų);</w:t>
            </w:r>
          </w:p>
          <w:p w14:paraId="0000034E">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4F">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r>
              <w:rPr>
                <w:b/>
                <w:color w:val="000000"/>
                <w:lang w:val="fi-FI"/>
              </w:rPr>
              <w:t>VPĮ 46 straipsnio 3 dalis</w:t>
            </w:r>
          </w:p>
          <w:p w14:paraId="00000350">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p>
          <w:p w14:paraId="00000351">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EBVPD III dalies B1 ir B2 punktai</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52">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1) Dėl įsipareigojimų, susijusių su mokesčių mokėjimu, įvykdymo iš Lietuvoje įsteigtų subjektų prašoma:</w:t>
            </w:r>
          </w:p>
          <w:p w14:paraId="00000353">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p w14:paraId="00000354">
            <w:pPr>
              <w:numPr>
                <w:ilvl w:val="0"/>
                <w:numId w:val="1"/>
              </w:numPr>
              <w:pBdr>
                <w:top w:val="none" w:color="000000" w:sz="0" w:space="0"/>
                <w:left w:val="none" w:color="000000" w:sz="0" w:space="0"/>
                <w:bottom w:val="none" w:color="000000" w:sz="0" w:space="0"/>
                <w:right w:val="none" w:color="000000" w:sz="0" w:space="0"/>
                <w:between w:val="none" w:color="000000" w:sz="0" w:space="0"/>
              </w:pBdr>
              <w:jc w:val="both"/>
              <w:rPr>
                <w:lang w:val="fi-FI"/>
              </w:rPr>
            </w:pPr>
            <w:r>
              <w:rPr>
                <w:color w:val="000000"/>
                <w:lang w:val="fi-FI"/>
              </w:rPr>
              <w:t>išrašo iš teismo sprendimo (jei toks yra) arba Valstybinės mokesčių inspekcijos prie Lietuvos Respublikos finansų ministerijos išduoto dokumento,</w:t>
            </w:r>
          </w:p>
          <w:p w14:paraId="00000355">
            <w:pPr>
              <w:numPr>
                <w:ilvl w:val="0"/>
                <w:numId w:val="13"/>
              </w:numPr>
              <w:pBdr>
                <w:top w:val="none" w:color="000000" w:sz="0" w:space="0"/>
                <w:left w:val="none" w:color="000000" w:sz="0" w:space="0"/>
                <w:bottom w:val="none" w:color="000000" w:sz="0" w:space="0"/>
                <w:right w:val="none" w:color="000000" w:sz="0" w:space="0"/>
                <w:between w:val="none" w:color="000000" w:sz="0" w:space="0"/>
              </w:pBdr>
              <w:jc w:val="both"/>
              <w:rPr>
                <w:lang w:val="fi-FI"/>
              </w:rPr>
            </w:pPr>
            <w:r>
              <w:rPr>
                <w:color w:val="000000"/>
                <w:lang w:val="fi-FI"/>
              </w:rPr>
              <w:t>arba valstybės įmonės Registrų centro Lietuvos Respublikos Vyriausybės nustatyta tvarka išduoto dokumento, patvirtinančio jungtinius kompetentingų institucijų tvarkomus duomenis.</w:t>
            </w:r>
          </w:p>
          <w:p w14:paraId="00000356">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p>
          <w:p w14:paraId="00000357">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Iš ne Lietuvoje įsteigtų subjektų reikalaujama:</w:t>
            </w:r>
          </w:p>
          <w:p w14:paraId="00000358">
            <w:pPr>
              <w:numPr>
                <w:ilvl w:val="0"/>
                <w:numId w:val="12"/>
              </w:numPr>
              <w:pBdr>
                <w:top w:val="none" w:color="000000" w:sz="0" w:space="0"/>
                <w:left w:val="none" w:color="000000" w:sz="0" w:space="0"/>
                <w:bottom w:val="none" w:color="000000" w:sz="0" w:space="0"/>
                <w:right w:val="none" w:color="000000" w:sz="0" w:space="0"/>
                <w:between w:val="none" w:color="000000" w:sz="0" w:space="0"/>
              </w:pBdr>
              <w:ind w:left="314"/>
              <w:jc w:val="both"/>
              <w:rPr>
                <w:lang w:val="fi-FI"/>
              </w:rPr>
            </w:pPr>
            <w:r>
              <w:rPr>
                <w:color w:val="000000"/>
                <w:lang w:val="fi-FI"/>
              </w:rPr>
              <w:t>atitinkamos užsienio šalies institucijos dokumento</w:t>
            </w:r>
            <w:r>
              <w:rPr>
                <w:color w:val="000000"/>
                <w:vertAlign w:val="superscript"/>
              </w:rPr>
              <w:footnoteReference w:id="1"/>
            </w:r>
            <w:r>
              <w:rPr>
                <w:color w:val="000000"/>
                <w:lang w:val="fi-FI"/>
              </w:rPr>
              <w:t>.</w:t>
            </w:r>
          </w:p>
          <w:p w14:paraId="00000359">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p>
          <w:p w14:paraId="0000035A">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 xml:space="preserve">Nurodyti dokumentai turi būti  išduoti ne anksčiau kaip 120 dienų iki tos dienos, kai tiekėjas perkančiosios organizacijos prašymu turės pateikti pašalinimo pagrindų nebuvimą patvirtinančius dokumentus. </w:t>
            </w:r>
            <w:r>
              <w:rPr>
                <w:b/>
                <w:i/>
                <w:color w:val="000000"/>
                <w:lang w:val="fi-FI"/>
              </w:rPr>
              <w:t>Pavyzdys</w:t>
            </w:r>
            <w:r>
              <w:rPr>
                <w:i/>
                <w:color w:val="000000"/>
                <w:lang w:val="fi-FI"/>
              </w:rPr>
              <w:t xml:space="preserve">: Jeigu Perkančioji organizacija 2022-10-10 kreipėsi į tiekėją prašydama iki 2022-10-14 pateikti įrodančius dokumentus, jie turi būti išduoti ne anksčiau kaip 120 dienų, jas skaičiuojant atgal nuo 2022-10-14. </w:t>
            </w:r>
          </w:p>
          <w:p w14:paraId="0000035B">
            <w:pPr>
              <w:pBdr>
                <w:top w:val="none" w:color="000000" w:sz="0" w:space="0"/>
                <w:left w:val="none" w:color="000000" w:sz="0" w:space="0"/>
                <w:bottom w:val="none" w:color="000000" w:sz="0" w:space="0"/>
                <w:right w:val="none" w:color="000000" w:sz="0" w:space="0"/>
                <w:between w:val="none" w:color="000000" w:sz="0" w:space="0"/>
              </w:pBdr>
              <w:jc w:val="both"/>
              <w:rPr>
                <w:i/>
                <w:color w:val="7030A0"/>
                <w:lang w:val="fi-FI"/>
              </w:rPr>
            </w:pPr>
          </w:p>
          <w:p w14:paraId="0000035C">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Jei dokumentas išduotas anksčiau, tačiau jame nurodytas galiojimo terminas ilgesnis nei pašalinimo pagrindų nebuvimą patvirtinančių dokumentų pagal EBVPD galutinis pateikimo terminas, toks dokumentas jo galiojimo laikotarpiu yra priimtinas.</w:t>
            </w:r>
          </w:p>
          <w:p w14:paraId="0000035D">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p w14:paraId="0000035E">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2) Dėl įsipareigojimų, susijusių su socialinio draudimo įmokų mokėjimu, įvykdymo iš Lietuvoje įsteigtų subjektų prašoma:</w:t>
            </w:r>
          </w:p>
          <w:p w14:paraId="0000035F">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r>
              <w:fldChar w:fldCharType="begin"/>
            </w:r>
            <w:r>
              <w:instrText xml:space="preserve"> HYPERLINK "http://draudejai.sodra.lt/draudeju_viesi_duomenys/" \h </w:instrText>
            </w:r>
            <w:r>
              <w:fldChar w:fldCharType="separate"/>
            </w:r>
            <w:r>
              <w:rPr>
                <w:color w:val="000000"/>
                <w:u w:val="single"/>
                <w:lang w:val="fi-FI"/>
              </w:rPr>
              <w:t>http://draudejai.sodra.lt/draudeju_viesi_duomenys/</w:t>
            </w:r>
            <w:r>
              <w:rPr>
                <w:color w:val="000000"/>
                <w:u w:val="single"/>
                <w:lang w:val="fi-FI"/>
              </w:rPr>
              <w:fldChar w:fldCharType="end"/>
            </w:r>
            <w:r>
              <w:rPr>
                <w:color w:val="000000"/>
                <w:lang w:val="fi-FI"/>
              </w:rPr>
              <w:t>.</w:t>
            </w:r>
          </w:p>
          <w:p w14:paraId="00000360">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p w14:paraId="00000361">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0000362">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p w14:paraId="00000363">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0000364">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p w14:paraId="00000365">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Iš ne Lietuvoje įsteigtų subjektų reikalaujama:</w:t>
            </w:r>
          </w:p>
          <w:p w14:paraId="00000366">
            <w:pPr>
              <w:numPr>
                <w:ilvl w:val="0"/>
                <w:numId w:val="12"/>
              </w:numPr>
              <w:pBdr>
                <w:top w:val="none" w:color="000000" w:sz="0" w:space="0"/>
                <w:left w:val="none" w:color="000000" w:sz="0" w:space="0"/>
                <w:bottom w:val="none" w:color="000000" w:sz="0" w:space="0"/>
                <w:right w:val="none" w:color="000000" w:sz="0" w:space="0"/>
                <w:between w:val="none" w:color="000000" w:sz="0" w:space="0"/>
              </w:pBdr>
              <w:ind w:left="314"/>
              <w:jc w:val="both"/>
              <w:rPr>
                <w:lang w:val="sv-SE"/>
              </w:rPr>
            </w:pPr>
            <w:r>
              <w:rPr>
                <w:color w:val="000000"/>
                <w:lang w:val="sv-SE"/>
              </w:rPr>
              <w:t>atitinkamos užsienio šalies kompetentingos institucijos dokumento</w:t>
            </w:r>
            <w:r>
              <w:rPr>
                <w:color w:val="000000"/>
                <w:vertAlign w:val="superscript"/>
              </w:rPr>
              <w:footnoteReference w:id="2"/>
            </w:r>
            <w:r>
              <w:rPr>
                <w:color w:val="000000"/>
                <w:lang w:val="sv-SE"/>
              </w:rPr>
              <w:t>.</w:t>
            </w:r>
          </w:p>
          <w:p w14:paraId="00000367">
            <w:pPr>
              <w:pBdr>
                <w:top w:val="none" w:color="000000" w:sz="0" w:space="0"/>
                <w:left w:val="none" w:color="000000" w:sz="0" w:space="0"/>
                <w:bottom w:val="none" w:color="000000" w:sz="0" w:space="0"/>
                <w:right w:val="none" w:color="000000" w:sz="0" w:space="0"/>
                <w:between w:val="none" w:color="000000" w:sz="0" w:space="0"/>
              </w:pBdr>
              <w:jc w:val="both"/>
              <w:rPr>
                <w:b/>
                <w:color w:val="000000"/>
                <w:lang w:val="sv-SE"/>
              </w:rPr>
            </w:pPr>
          </w:p>
          <w:p w14:paraId="00000368">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r>
              <w:rPr>
                <w:color w:val="000000"/>
                <w:lang w:val="sv-SE"/>
              </w:rPr>
              <w:t xml:space="preserve">Nurodyti dokumentai turi būti  išduoti ne anksčiau kaip 120 dienų iki tos dienos, kai tiekėjas perkančiosios organizacijos prašymu turės pateikti pašalinimo pagrindų nebuvimą patvirtinančius dokumentus. </w:t>
            </w:r>
            <w:r>
              <w:rPr>
                <w:b/>
                <w:i/>
                <w:color w:val="000000"/>
                <w:lang w:val="sv-SE"/>
              </w:rPr>
              <w:t>Pavyzdys</w:t>
            </w:r>
            <w:r>
              <w:rPr>
                <w:i/>
                <w:color w:val="000000"/>
                <w:lang w:val="sv-SE"/>
              </w:rPr>
              <w:t>: Jeigu perkančioji organizacija 2022-10-10 kreipėsi į tiekėją prašydama iki 2022-10-14 pateikti įrodančius dokumentus, jie turi būti išduoti ne anksčiau kaip 120 dienų, jas skaičiuojant atgal nuo 2022-10-14.</w:t>
            </w:r>
          </w:p>
          <w:p w14:paraId="00000369">
            <w:pPr>
              <w:pBdr>
                <w:top w:val="none" w:color="000000" w:sz="0" w:space="0"/>
                <w:left w:val="none" w:color="000000" w:sz="0" w:space="0"/>
                <w:bottom w:val="none" w:color="000000" w:sz="0" w:space="0"/>
                <w:right w:val="none" w:color="000000" w:sz="0" w:space="0"/>
                <w:between w:val="none" w:color="000000" w:sz="0" w:space="0"/>
              </w:pBdr>
              <w:jc w:val="both"/>
              <w:rPr>
                <w:b/>
                <w:color w:val="000000"/>
                <w:lang w:val="sv-SE"/>
              </w:rPr>
            </w:pPr>
          </w:p>
          <w:p w14:paraId="0000036A">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r>
              <w:rPr>
                <w:color w:val="000000"/>
                <w:lang w:val="sv-SE"/>
              </w:rPr>
              <w:t>Jei dokumentas išduotas anksčiau, tačiau jame nurodytas galiojimo terminas ilgesnis nei pašalinimo pagrindų nebuvimą patvirtinančių dokumentų pagal EBVPD galutinis pateikimo terminas, toks dokumentas jo galiojimo laikotarpiu yra priimtinas.</w:t>
            </w:r>
          </w:p>
        </w:tc>
      </w:tr>
      <w:tr w14:paraId="3F6BDD58">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6B">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rPr>
                <w:b/>
                <w:color w:val="000000"/>
                <w:lang w:val="sv-SE"/>
              </w:rPr>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6C">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r>
              <w:rPr>
                <w:color w:val="000000"/>
                <w:lang w:val="sv-SE"/>
              </w:rPr>
              <w:t>Tiekėjas su kitais tiekėjais yra sudaręs susitarimų, kuriais siekiama iškreipti konkurenciją atliekamame pirkime, ir perkančioji organizacija dėl to turi įtikinamų duomenų.</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6D">
            <w:pPr>
              <w:pBdr>
                <w:top w:val="none" w:color="000000" w:sz="0" w:space="0"/>
                <w:left w:val="none" w:color="000000" w:sz="0" w:space="0"/>
                <w:bottom w:val="none" w:color="000000" w:sz="0" w:space="0"/>
                <w:right w:val="none" w:color="000000" w:sz="0" w:space="0"/>
                <w:between w:val="none" w:color="000000" w:sz="0" w:space="0"/>
              </w:pBdr>
              <w:jc w:val="both"/>
              <w:rPr>
                <w:b/>
                <w:color w:val="000000"/>
                <w:lang w:val="sv-SE"/>
              </w:rPr>
            </w:pPr>
            <w:r>
              <w:rPr>
                <w:b/>
                <w:color w:val="000000"/>
                <w:lang w:val="sv-SE"/>
              </w:rPr>
              <w:t>VPĮ 46 straipsnio 4 dalies 1 punktas</w:t>
            </w:r>
          </w:p>
          <w:p w14:paraId="0000036E">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0000036F">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r>
              <w:rPr>
                <w:color w:val="000000"/>
                <w:lang w:val="sv-SE"/>
              </w:rPr>
              <w:t>EBVPD III dalies C10 punktas</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70">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lang w:val="sv-SE"/>
              </w:rPr>
              <w:t xml:space="preserve">Iš Lietuvoje įsteigtų subjektų įrodančių dokumentų nereikalaujama. </w:t>
            </w:r>
            <w:r>
              <w:rPr>
                <w:color w:val="000000"/>
              </w:rPr>
              <w:t>Užtenka pateikto EBVPD.</w:t>
            </w:r>
          </w:p>
          <w:p w14:paraId="00000371">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72">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tc>
      </w:tr>
      <w:tr w14:paraId="28173D74">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73">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rPr>
                <w:b/>
                <w:color w:val="000000"/>
              </w:rPr>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74">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Tiekėjas pirkimo metu pateko į interesų konflikto situaciją, kaip apibrėžta VPĮ 21 straipsnyje, ir atitinkamos padėties negalima ištaisyti. </w:t>
            </w:r>
          </w:p>
          <w:p w14:paraId="00000375">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76">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VPĮ 46 straipsnio 4 dalies 2 punktas</w:t>
            </w:r>
          </w:p>
          <w:p w14:paraId="00000377">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78">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EBVPD III dalies C12 punktas</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7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Iš Lietuvoje įsteigtų subjektų įrodančių dokumentų nereikalaujama. Užtenka pateikto EBVPD.</w:t>
            </w:r>
          </w:p>
          <w:p w14:paraId="0000037A">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7B">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tc>
      </w:tr>
      <w:tr w14:paraId="1E9D65BB">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7C">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rPr>
                <w:b/>
                <w:color w:val="000000"/>
              </w:rPr>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7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Pažeista konkurencija, kaip nustatyta VPĮ 27 straipsnio 3 ir 4 dalyse, ir atitinkamos padėties negalima ištaisyti.</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7E">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VPĮ 46 straipsnio 4 dalies 3 punktas</w:t>
            </w:r>
          </w:p>
          <w:p w14:paraId="0000037F">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80">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EBVPD III dalies C13 punktas </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81">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Iš Lietuvoje įsteigtų subjektų įrodančių dokumentų nereikalaujama. Užtenka pateikto EBVPD.</w:t>
            </w:r>
          </w:p>
          <w:p w14:paraId="00000382">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tc>
      </w:tr>
      <w:tr w14:paraId="17548191">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83">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rPr>
                <w:b/>
                <w:color w:val="000000"/>
              </w:rPr>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84">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0000385">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0000386">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87">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VPĮ 46 straipsnio 4 dalies 4 punktas</w:t>
            </w:r>
          </w:p>
          <w:p w14:paraId="00000388">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8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EBVPD III dalies C15 punktas </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8A">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Iš Lietuvoje įsteigtų subjektų įrodančių dokumentų nereikalaujama. Užtenka pateikto EBVPD.</w:t>
            </w:r>
          </w:p>
          <w:p w14:paraId="0000038B">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8C">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8D">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 xml:space="preserve">Priimant sprendimus dėl tiekėjo pašalinimo iš pirkimo procedūros šiame punkte nurodytu pašalinimo pagrindu, be kita ko, gali būti atsižvelgiama į pagal VPĮ 52 straipsnį skelbiamą informaciją: </w:t>
            </w:r>
          </w:p>
          <w:p w14:paraId="0000038E">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https://vpt.lrv.lt/lt/nuorodos/kiti-duomenys/powerbi/melaginga-informacija-pateikusiu-tiekeju-sarasas-3/</w:t>
            </w:r>
          </w:p>
        </w:tc>
      </w:tr>
      <w:tr w14:paraId="1FFB47DB">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8F">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rPr>
                <w:b/>
                <w:color w:val="000000"/>
              </w:rPr>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90">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91">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VPĮ 46 straipsnio 4 dalies 5 punktas</w:t>
            </w:r>
          </w:p>
          <w:p w14:paraId="00000392">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93">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EBVPD III dalies C15 punktas</w:t>
            </w:r>
          </w:p>
          <w:p w14:paraId="00000394">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95">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96">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Iš Lietuvoje įsteigtų subjektų įrodančių dokumentų nereikalaujama. Užtenka pateikto EBVPD.</w:t>
            </w:r>
          </w:p>
          <w:p w14:paraId="00000397">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tc>
      </w:tr>
      <w:tr w14:paraId="06006E89">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98">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rPr>
                <w:b/>
                <w:color w:val="000000"/>
              </w:rPr>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9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000039A">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9B">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VPĮ 46 straipsnio 4 dalies 6 punktas</w:t>
            </w:r>
          </w:p>
          <w:p w14:paraId="0000039C">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9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EBVPD III dalies C14 punktas</w:t>
            </w:r>
          </w:p>
          <w:p w14:paraId="0000039E">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9F">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A0">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Iš Lietuvoje įsteigtų subjektų įrodančių dokumentų nereikalaujama. Užtenka pateikto EBVPD.</w:t>
            </w:r>
          </w:p>
          <w:p w14:paraId="000003A1">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A2">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 xml:space="preserve">Priimant sprendimus dėl tiekėjo pašalinimo iš pirkimo procedūros šiame punkte nurodytu pašalinimo pagrindu, gali būti atsižvelgiama į pagal VPĮ 91 straipsnį skelbiamą informaciją: </w:t>
            </w:r>
          </w:p>
          <w:p w14:paraId="000003A3">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A4">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A5">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fldChar w:fldCharType="begin"/>
            </w:r>
            <w:r>
              <w:instrText xml:space="preserve"> HYPERLINK "https://vpt.lrv.lt/lt/nuorodos/kiti-duomenys/powerbi/nepatikimi-tiekejai-1/" \h </w:instrText>
            </w:r>
            <w:r>
              <w:fldChar w:fldCharType="separate"/>
            </w:r>
            <w:r>
              <w:rPr>
                <w:b/>
                <w:color w:val="000000"/>
                <w:u w:val="single"/>
              </w:rPr>
              <w:t>https://vpt.lrv.lt/lt/nuorodos/kiti-duomenys/powerbi/nepatikimi-tiekejai-1/</w:t>
            </w:r>
            <w:r>
              <w:rPr>
                <w:b/>
                <w:color w:val="000000"/>
                <w:u w:val="single"/>
              </w:rPr>
              <w:fldChar w:fldCharType="end"/>
            </w:r>
          </w:p>
          <w:p w14:paraId="000003A6">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tc>
      </w:tr>
      <w:tr w14:paraId="599D264E">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A7">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pPr>
          </w:p>
          <w:p w14:paraId="000003A8">
            <w:pPr>
              <w:pBdr>
                <w:top w:val="none" w:color="000000" w:sz="0" w:space="0"/>
                <w:left w:val="none" w:color="000000" w:sz="0" w:space="0"/>
                <w:bottom w:val="none" w:color="000000" w:sz="0" w:space="0"/>
                <w:right w:val="none" w:color="000000" w:sz="0" w:space="0"/>
                <w:between w:val="none" w:color="000000" w:sz="0" w:space="0"/>
              </w:pBdr>
              <w:rPr>
                <w:color w:val="000000"/>
              </w:rPr>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A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Tiekėjas yra padaręs rimtą profesinį pažeidimą, dėl kurio perkančioji organizacija abejoja tiekėjo sąžiningumu, kai jis</w:t>
            </w:r>
            <w:bookmarkStart w:id="21" w:name="bookmark=id.x5ihlvcsoi6y" w:colFirst="0" w:colLast="0"/>
            <w:bookmarkEnd w:id="21"/>
            <w:r>
              <w:rPr>
                <w:color w:val="000000"/>
              </w:rPr>
              <w:t xml:space="preserve"> yra padaręs finansinės atskaitomybės ir audito teisės aktų pažeidimą ir nuo jo padarymo dienos praėjo mažiau kaip vieni metai.</w:t>
            </w:r>
          </w:p>
          <w:p w14:paraId="000003AA">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AB">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VPĮ 46 straipsnio 4 dalies 7 punkto a papunktis</w:t>
            </w:r>
          </w:p>
          <w:p w14:paraId="000003AC">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A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EBVPD III dalies C11 punktas</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AE">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Iš Lietuvoje įsteigtų subjektų įrodančių dokumentų nereikalaujama. Užtenka pateikto EBVPD. Priimant sprendimus dėl tiekėjo pašalinimo iš pirkimo procedūros šiame punkte nurodytu pašalinimo pagrindu, be kita ko, atsižvelgiama į</w:t>
            </w:r>
            <w:r>
              <w:rPr>
                <w:b/>
                <w:color w:val="000000"/>
              </w:rPr>
              <w:t xml:space="preserve"> </w:t>
            </w:r>
            <w:r>
              <w:rPr>
                <w:color w:val="000000"/>
              </w:rPr>
              <w:t xml:space="preserve">nacionalinėje duomenų bazėje adresu: </w:t>
            </w:r>
            <w:r>
              <w:fldChar w:fldCharType="begin"/>
            </w:r>
            <w:r>
              <w:instrText xml:space="preserve"> HYPERLINK "https://www.registrucentras.lt/jar/p/index.php" \h </w:instrText>
            </w:r>
            <w:r>
              <w:fldChar w:fldCharType="separate"/>
            </w:r>
            <w:r>
              <w:rPr>
                <w:color w:val="000000"/>
                <w:u w:val="single"/>
              </w:rPr>
              <w:t>https://www.registrucentras.lt/jar/p/index.php</w:t>
            </w:r>
            <w:r>
              <w:rPr>
                <w:color w:val="000000"/>
                <w:u w:val="single"/>
              </w:rPr>
              <w:fldChar w:fldCharType="end"/>
            </w:r>
          </w:p>
          <w:p w14:paraId="000003AF">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paskelbtą informaciją, taip pat į šiame informaciniame pranešime pateiktą informaciją:</w:t>
            </w:r>
          </w:p>
          <w:p w14:paraId="000003B0">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fldChar w:fldCharType="begin"/>
            </w:r>
            <w:r>
              <w:instrText xml:space="preserve"> HYPERLINK "https://vpt.lrv.lt/lt/naujienos-3/finansiniu-ataskaitu-nepateikimas-gali-tapti-kliutimi-dalyvauti-viesuosiuose-pirkimuose/" \h </w:instrText>
            </w:r>
            <w:r>
              <w:fldChar w:fldCharType="separate"/>
            </w:r>
            <w:r>
              <w:rPr>
                <w:b/>
                <w:color w:val="000000"/>
                <w:u w:val="single"/>
              </w:rPr>
              <w:t>https://vpt.lrv.lt/lt/naujienos-3/finansiniu-ataskaitu-nepateikimas-gali-tapti-kliutimi-dalyvauti-viesuosiuose-pirkimuose/</w:t>
            </w:r>
            <w:r>
              <w:rPr>
                <w:b/>
                <w:color w:val="000000"/>
                <w:u w:val="single"/>
              </w:rPr>
              <w:fldChar w:fldCharType="end"/>
            </w:r>
          </w:p>
          <w:p w14:paraId="000003B1">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tc>
      </w:tr>
      <w:tr w14:paraId="7CD36270">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B2">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B3">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Pr>
                <w:color w:val="000000"/>
                <w:vertAlign w:val="superscript"/>
              </w:rPr>
              <w:t>1</w:t>
            </w:r>
            <w:r>
              <w:rPr>
                <w:color w:val="000000"/>
              </w:rPr>
              <w:t xml:space="preserve"> straipsnio 1 dalyje.</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B4">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VPĮ 46 straipsnio 4 dalies 7 punkto b papunktis</w:t>
            </w:r>
          </w:p>
          <w:p w14:paraId="000003B5">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B6">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EBVPD III dalies C11 punktas</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B7">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Iš Lietuvoje įsteigtų subjektų įrodančių dokumentų nereikalaujama. Užtenka pateikto EBVPD.</w:t>
            </w:r>
          </w:p>
          <w:p w14:paraId="000003B8">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p w14:paraId="000003B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Priimant sprendimus dėl tiekėjo pašalinimo iš pirkimo procedūros šiame punkte nurodytu pašalinimo pagrindu, be kita ko, atsižvelgiama į</w:t>
            </w:r>
            <w:r>
              <w:rPr>
                <w:b/>
                <w:color w:val="000000"/>
              </w:rPr>
              <w:t xml:space="preserve"> </w:t>
            </w:r>
            <w:r>
              <w:rPr>
                <w:color w:val="000000"/>
              </w:rPr>
              <w:t xml:space="preserve">nacionalinėje duomenų bazėje adresu </w:t>
            </w:r>
            <w:r>
              <w:fldChar w:fldCharType="begin"/>
            </w:r>
            <w:r>
              <w:instrText xml:space="preserve"> HYPERLINK "https://www.vmi.lt/evmi/mokesciu-moketoju-informacija" \h </w:instrText>
            </w:r>
            <w:r>
              <w:fldChar w:fldCharType="separate"/>
            </w:r>
            <w:r>
              <w:rPr>
                <w:color w:val="000000"/>
                <w:u w:val="single"/>
              </w:rPr>
              <w:t>https://www.vmi.lt/evmi/mokesciu-moketoju-informacija</w:t>
            </w:r>
            <w:r>
              <w:rPr>
                <w:color w:val="000000"/>
                <w:u w:val="single"/>
              </w:rPr>
              <w:fldChar w:fldCharType="end"/>
            </w:r>
            <w:r>
              <w:rPr>
                <w:color w:val="000000"/>
              </w:rPr>
              <w:t xml:space="preserve"> skelbiamą informaciją.</w:t>
            </w:r>
          </w:p>
          <w:p w14:paraId="000003BA">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5474564D">
        <w:tblPrEx>
          <w:tblCellMar>
            <w:top w:w="0" w:type="dxa"/>
            <w:left w:w="10" w:type="dxa"/>
            <w:bottom w:w="0" w:type="dxa"/>
            <w:right w:w="10" w:type="dxa"/>
          </w:tblCellMar>
        </w:tblPrEx>
        <w:tc>
          <w:tcPr>
            <w:tcW w:w="90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BB">
            <w:pPr>
              <w:numPr>
                <w:ilvl w:val="0"/>
                <w:numId w:val="11"/>
              </w:numPr>
              <w:pBdr>
                <w:top w:val="none" w:color="000000" w:sz="0" w:space="0"/>
                <w:left w:val="none" w:color="000000" w:sz="0" w:space="0"/>
                <w:bottom w:val="none" w:color="000000" w:sz="0" w:space="0"/>
                <w:right w:val="none" w:color="000000" w:sz="0" w:space="0"/>
                <w:between w:val="none" w:color="000000" w:sz="0" w:space="0"/>
              </w:pBdr>
              <w:ind w:left="0" w:firstLine="0"/>
            </w:pPr>
          </w:p>
        </w:tc>
        <w:tc>
          <w:tcPr>
            <w:tcW w:w="363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BC">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BD">
            <w:pPr>
              <w:pBdr>
                <w:top w:val="none" w:color="000000" w:sz="0" w:space="0"/>
                <w:left w:val="none" w:color="000000" w:sz="0" w:space="0"/>
                <w:bottom w:val="none" w:color="000000" w:sz="0" w:space="0"/>
                <w:right w:val="none" w:color="000000" w:sz="0" w:space="0"/>
                <w:between w:val="none" w:color="000000" w:sz="0" w:space="0"/>
              </w:pBdr>
              <w:jc w:val="both"/>
              <w:rPr>
                <w:b/>
                <w:color w:val="000000"/>
                <w:lang w:val="nb-NO"/>
              </w:rPr>
            </w:pPr>
            <w:r>
              <w:rPr>
                <w:b/>
                <w:color w:val="000000"/>
                <w:lang w:val="nb-NO"/>
              </w:rPr>
              <w:t>VPĮ 46 straipsnio 4 dalies 7 punkto c papunktis</w:t>
            </w:r>
          </w:p>
          <w:p w14:paraId="000003BE">
            <w:pPr>
              <w:pBdr>
                <w:top w:val="none" w:color="000000" w:sz="0" w:space="0"/>
                <w:left w:val="none" w:color="000000" w:sz="0" w:space="0"/>
                <w:bottom w:val="none" w:color="000000" w:sz="0" w:space="0"/>
                <w:right w:val="none" w:color="000000" w:sz="0" w:space="0"/>
                <w:between w:val="none" w:color="000000" w:sz="0" w:space="0"/>
              </w:pBdr>
              <w:jc w:val="both"/>
              <w:rPr>
                <w:color w:val="000000"/>
                <w:lang w:val="nb-NO"/>
              </w:rPr>
            </w:pPr>
          </w:p>
          <w:p w14:paraId="000003BF">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r>
              <w:rPr>
                <w:color w:val="000000"/>
                <w:lang w:val="sv-SE"/>
              </w:rPr>
              <w:t>EBVPD III dalies C11 punktas</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C0">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r>
              <w:rPr>
                <w:color w:val="000000"/>
                <w:lang w:val="sv-SE"/>
              </w:rPr>
              <w:t>Iš Lietuvoje įsteigtų subjektų įrodančių dokumentų nereikalaujama. Užtenka pateikto EBVPD.</w:t>
            </w:r>
          </w:p>
          <w:p w14:paraId="000003C1">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p w14:paraId="000003C2">
            <w:pPr>
              <w:pBdr>
                <w:top w:val="none" w:color="000000" w:sz="0" w:space="0"/>
                <w:left w:val="none" w:color="000000" w:sz="0" w:space="0"/>
                <w:bottom w:val="none" w:color="000000" w:sz="0" w:space="0"/>
                <w:right w:val="none" w:color="000000" w:sz="0" w:space="0"/>
                <w:between w:val="none" w:color="000000" w:sz="0" w:space="0"/>
              </w:pBdr>
              <w:rPr>
                <w:b/>
                <w:color w:val="000000"/>
                <w:lang w:val="sv-SE"/>
              </w:rPr>
            </w:pPr>
            <w:r>
              <w:rPr>
                <w:b/>
                <w:color w:val="000000"/>
                <w:lang w:val="sv-SE"/>
              </w:rPr>
              <w:t xml:space="preserve">Priimant sprendimus dėl tiekėjo pašalinimo iš pirkimo procedūros šiame punkte nurodytu pašalinimo pagrindu, be kita ko, atsižvelgiama į nacionalinėje duomenų bazėje adresu: </w:t>
            </w:r>
          </w:p>
          <w:p w14:paraId="000003C3">
            <w:pPr>
              <w:pBdr>
                <w:top w:val="none" w:color="000000" w:sz="0" w:space="0"/>
                <w:left w:val="none" w:color="000000" w:sz="0" w:space="0"/>
                <w:bottom w:val="none" w:color="000000" w:sz="0" w:space="0"/>
                <w:right w:val="none" w:color="000000" w:sz="0" w:space="0"/>
                <w:between w:val="none" w:color="000000" w:sz="0" w:space="0"/>
              </w:pBdr>
              <w:rPr>
                <w:color w:val="000000"/>
              </w:rPr>
            </w:pPr>
            <w:r>
              <w:fldChar w:fldCharType="begin"/>
            </w:r>
            <w:r>
              <w:instrText xml:space="preserve"> HYPERLINK "https://kt.gov.lt/lt/atviri-duomenys/diskvalifikavimas-is-viesuju-pirkimu" \h </w:instrText>
            </w:r>
            <w:r>
              <w:fldChar w:fldCharType="separate"/>
            </w:r>
            <w:r>
              <w:rPr>
                <w:color w:val="000000"/>
                <w:u w:val="single"/>
              </w:rPr>
              <w:t>https://kt.gov.lt/lt/atviri-duomenys/diskvalifikavimas-is-viesuju-pirkimu</w:t>
            </w:r>
            <w:r>
              <w:rPr>
                <w:color w:val="000000"/>
                <w:u w:val="single"/>
              </w:rPr>
              <w:fldChar w:fldCharType="end"/>
            </w:r>
            <w:r>
              <w:rPr>
                <w:color w:val="000000"/>
              </w:rPr>
              <w:t xml:space="preserve"> skelbiamą informaciją. </w:t>
            </w:r>
          </w:p>
        </w:tc>
      </w:tr>
    </w:tbl>
    <w:p w14:paraId="000003C4">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C5">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smallCaps/>
          <w:color w:val="000000"/>
        </w:rPr>
        <w:t>__________</w:t>
      </w:r>
    </w:p>
    <w:p w14:paraId="000003C6">
      <w:pPr>
        <w:keepNext/>
        <w:keepLines/>
        <w:pageBreakBefore/>
        <w:pBdr>
          <w:top w:val="none" w:color="000000" w:sz="0" w:space="0"/>
          <w:left w:val="none" w:color="000000" w:sz="0" w:space="0"/>
          <w:bottom w:val="none" w:color="000000" w:sz="0" w:space="0"/>
          <w:right w:val="none" w:color="000000" w:sz="0" w:space="0"/>
          <w:between w:val="none" w:color="000000" w:sz="0" w:space="0"/>
        </w:pBdr>
        <w:spacing w:before="160" w:after="80"/>
        <w:ind w:left="5103"/>
        <w:rPr>
          <w:rFonts w:ascii="Calibri" w:hAnsi="Calibri" w:eastAsia="Calibri" w:cs="Calibri"/>
          <w:color w:val="2E74B5"/>
          <w:sz w:val="32"/>
          <w:szCs w:val="32"/>
        </w:rPr>
      </w:pPr>
      <w:bookmarkStart w:id="22" w:name="_heading=h.qu25ineaeld0" w:colFirst="0" w:colLast="0"/>
      <w:bookmarkEnd w:id="22"/>
      <w:r>
        <w:rPr>
          <w:color w:val="000000"/>
        </w:rPr>
        <w:t>Pirkimo sąlygų 4 priedas „Tiekėjų kvalifikacijos reikalavimai“</w:t>
      </w:r>
    </w:p>
    <w:p w14:paraId="000003C7">
      <w:pPr>
        <w:pBdr>
          <w:top w:val="none" w:color="000000" w:sz="0" w:space="0"/>
          <w:left w:val="none" w:color="000000" w:sz="0" w:space="0"/>
          <w:bottom w:val="none" w:color="000000" w:sz="0" w:space="0"/>
          <w:right w:val="none" w:color="000000" w:sz="0" w:space="0"/>
          <w:between w:val="none" w:color="000000" w:sz="0" w:space="0"/>
        </w:pBdr>
        <w:rPr>
          <w:b/>
          <w:smallCaps/>
          <w:color w:val="000000"/>
        </w:rPr>
      </w:pPr>
    </w:p>
    <w:p w14:paraId="000003C8">
      <w:pPr>
        <w:numPr>
          <w:ilvl w:val="0"/>
          <w:numId w:val="14"/>
        </w:numPr>
        <w:pBdr>
          <w:top w:val="none" w:color="000000" w:sz="0" w:space="0"/>
          <w:left w:val="none" w:color="000000" w:sz="0" w:space="0"/>
          <w:bottom w:val="none" w:color="000000" w:sz="0" w:space="0"/>
          <w:right w:val="none" w:color="000000" w:sz="0" w:space="0"/>
          <w:between w:val="none" w:color="000000" w:sz="0" w:space="0"/>
        </w:pBdr>
        <w:spacing w:after="240"/>
        <w:jc w:val="center"/>
        <w:rPr>
          <w:b/>
          <w:smallCaps/>
          <w:color w:val="595959"/>
        </w:rPr>
      </w:pPr>
      <w:r>
        <w:rPr>
          <w:b/>
          <w:smallCaps/>
          <w:color w:val="595959"/>
        </w:rPr>
        <w:t xml:space="preserve">TIEKĖJŲ KVALIFIKACIJOS REIKALAVIMAI </w:t>
      </w:r>
    </w:p>
    <w:p w14:paraId="000003C9">
      <w:pPr>
        <w:widowControl w:val="0"/>
        <w:pBdr>
          <w:top w:val="none" w:color="000000" w:sz="0" w:space="0"/>
          <w:left w:val="none" w:color="000000" w:sz="0" w:space="0"/>
          <w:bottom w:val="none" w:color="000000" w:sz="0" w:space="0"/>
          <w:right w:val="none" w:color="000000" w:sz="0" w:space="0"/>
          <w:between w:val="none" w:color="000000" w:sz="0" w:space="0"/>
        </w:pBdr>
        <w:tabs>
          <w:tab w:val="left" w:pos="1134"/>
        </w:tabs>
        <w:rPr>
          <w:i/>
          <w:color w:val="000000"/>
        </w:rPr>
      </w:pPr>
    </w:p>
    <w:tbl>
      <w:tblPr>
        <w:tblStyle w:val="136"/>
        <w:tblW w:w="9488" w:type="dxa"/>
        <w:tblInd w:w="0" w:type="dxa"/>
        <w:tblLayout w:type="fixed"/>
        <w:tblCellMar>
          <w:top w:w="0" w:type="dxa"/>
          <w:left w:w="10" w:type="dxa"/>
          <w:bottom w:w="0" w:type="dxa"/>
          <w:right w:w="10" w:type="dxa"/>
        </w:tblCellMar>
      </w:tblPr>
      <w:tblGrid>
        <w:gridCol w:w="754"/>
        <w:gridCol w:w="2399"/>
        <w:gridCol w:w="3087"/>
        <w:gridCol w:w="3248"/>
      </w:tblGrid>
      <w:tr w14:paraId="0E1FAC4E">
        <w:tblPrEx>
          <w:tblCellMar>
            <w:top w:w="0" w:type="dxa"/>
            <w:left w:w="10" w:type="dxa"/>
            <w:bottom w:w="0" w:type="dxa"/>
            <w:right w:w="10" w:type="dxa"/>
          </w:tblCellMar>
        </w:tblPrEx>
        <w:tc>
          <w:tcPr>
            <w:tcW w:w="75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CA">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Eil. Nr.</w:t>
            </w:r>
          </w:p>
        </w:tc>
        <w:tc>
          <w:tcPr>
            <w:tcW w:w="2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CB">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 xml:space="preserve">Kvalifikacijos reikalavimas </w:t>
            </w:r>
            <w:r>
              <w:rPr>
                <w:b/>
                <w:color w:val="000000"/>
              </w:rPr>
              <w:t>Finansinis ir ekonominis pajėgumas</w:t>
            </w:r>
          </w:p>
        </w:tc>
        <w:tc>
          <w:tcPr>
            <w:tcW w:w="30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CC">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Kvalifikacijos reikalavimus patvirtinantys dokumentai</w:t>
            </w:r>
          </w:p>
        </w:tc>
        <w:tc>
          <w:tcPr>
            <w:tcW w:w="32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CD">
            <w:pPr>
              <w:pBdr>
                <w:top w:val="none" w:color="000000" w:sz="0" w:space="0"/>
                <w:left w:val="none" w:color="000000" w:sz="0" w:space="0"/>
                <w:bottom w:val="none" w:color="000000" w:sz="0" w:space="0"/>
                <w:right w:val="none" w:color="000000" w:sz="0" w:space="0"/>
                <w:between w:val="none" w:color="000000" w:sz="0" w:space="0"/>
              </w:pBdr>
              <w:jc w:val="center"/>
              <w:rPr>
                <w:color w:val="000000"/>
                <w:lang w:val="fi-FI"/>
              </w:rPr>
            </w:pPr>
            <w:r>
              <w:rPr>
                <w:color w:val="000000"/>
                <w:lang w:val="fi-FI"/>
              </w:rPr>
              <w:t>Subjektas, kuris turi atitikti reikalavimą</w:t>
            </w:r>
          </w:p>
        </w:tc>
      </w:tr>
      <w:tr w14:paraId="7021E820">
        <w:tblPrEx>
          <w:tblCellMar>
            <w:top w:w="0" w:type="dxa"/>
            <w:left w:w="10" w:type="dxa"/>
            <w:bottom w:w="0" w:type="dxa"/>
            <w:right w:w="10" w:type="dxa"/>
          </w:tblCellMar>
        </w:tblPrEx>
        <w:tc>
          <w:tcPr>
            <w:tcW w:w="75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CE">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1.</w:t>
            </w:r>
          </w:p>
        </w:tc>
        <w:tc>
          <w:tcPr>
            <w:tcW w:w="23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CF7BC75">
            <w:pPr>
              <w:widowControl w:val="0"/>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Metinės visos veiklos pajamos kiekvienais paskutiniais </w:t>
            </w:r>
          </w:p>
          <w:p w14:paraId="129D9949">
            <w:pPr>
              <w:widowControl w:val="0"/>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3  finansiniais metais, o jei ūkio subjektas įregistruotas vėliau ar veiklą pradėjo vėliau – nuo ūkio subjekto įregistravimo ar veiklos pradžios, yra ne mažesnės nei 200000 Eur be PVM</w:t>
            </w:r>
          </w:p>
          <w:p w14:paraId="000003CF">
            <w:pPr>
              <w:widowControl w:val="0"/>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 </w:t>
            </w:r>
          </w:p>
        </w:tc>
        <w:tc>
          <w:tcPr>
            <w:tcW w:w="308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D748A82">
            <w:pPr>
              <w:pBdr>
                <w:top w:val="none" w:color="000000" w:sz="0" w:space="0"/>
                <w:left w:val="none" w:color="000000" w:sz="0" w:space="0"/>
                <w:bottom w:val="none" w:color="000000" w:sz="0" w:space="0"/>
                <w:right w:val="none" w:color="000000" w:sz="0" w:space="0"/>
                <w:between w:val="none" w:color="000000" w:sz="0" w:space="0"/>
              </w:pBdr>
              <w:jc w:val="both"/>
              <w:rPr>
                <w:i/>
                <w:color w:val="000000"/>
                <w:lang w:val="da-DK"/>
              </w:rPr>
            </w:pPr>
            <w:r>
              <w:rPr>
                <w:i/>
                <w:color w:val="000000"/>
                <w:lang w:val="da-DK"/>
              </w:rPr>
              <w:t>Viešųjų pirkimų įstatymo 51 straipsnio 5 dalies 3 ir 4 punktai – jų kopijos arba nuorodos į nacionalines duomenų bazes bet kurioje valstybėje narėje, prie kurių pirkimo vykdytojas turės galimybę tiesiogiai ir neatlygintinai prisijungusi ir susipažinti su reikalaujamais dokumentais ir (ar) informacija:</w:t>
            </w:r>
          </w:p>
          <w:p w14:paraId="6E8D29DC">
            <w:pPr>
              <w:pBdr>
                <w:top w:val="none" w:color="000000" w:sz="0" w:space="0"/>
                <w:left w:val="none" w:color="000000" w:sz="0" w:space="0"/>
                <w:bottom w:val="none" w:color="000000" w:sz="0" w:space="0"/>
                <w:right w:val="none" w:color="000000" w:sz="0" w:space="0"/>
                <w:between w:val="none" w:color="000000" w:sz="0" w:space="0"/>
              </w:pBdr>
              <w:jc w:val="both"/>
              <w:rPr>
                <w:i/>
                <w:color w:val="000000"/>
                <w:lang w:val="da-DK"/>
              </w:rPr>
            </w:pPr>
            <w:r>
              <w:rPr>
                <w:i/>
                <w:color w:val="000000"/>
                <w:lang w:val="da-DK"/>
              </w:rPr>
              <w:t>paskutinių 3 metų skaičių] finansinių metų, o jeigu ūkio subjektas įregistruotas ar veiklą pradėjo vėliau, – nuo ūkio subjekto įregistravimo ar veiklos pradžios (jeigu ši informacija turima), ūkio subjekto finansinių ataskaitų rinkinys su auditoriaus išvada (tais atvejais, kai auditas atliktas) ar jo ištrauka, jeigu šalies, kurioje registruotas ūkio subjektas, įstatymuose reikalaujama skelbti metinį finansinių ataskaitų rinkinį. Jei finansinės ataskaitos dar nėra patvirtintos ir (ar) dar nepaskelbtos Juridinių asmenų registre, teikiamas ūkio subjekto vadovo ir ūkio subjekto vyriausiojo buhalterio (buhalterio) arba kito asmens, galinčio tvarkyti ūkio subjekto buhalterinę apskaitą pagal teisės aktus, pasirašytų finansinių ataskaitų rinkinys ar jo ištrauka arba pažyma apie gautas metines visos veiklos pajamas.</w:t>
            </w:r>
          </w:p>
          <w:p w14:paraId="5D550D77">
            <w:pPr>
              <w:pBdr>
                <w:top w:val="none" w:color="000000" w:sz="0" w:space="0"/>
                <w:left w:val="none" w:color="000000" w:sz="0" w:space="0"/>
                <w:bottom w:val="none" w:color="000000" w:sz="0" w:space="0"/>
                <w:right w:val="none" w:color="000000" w:sz="0" w:space="0"/>
                <w:between w:val="none" w:color="000000" w:sz="0" w:space="0"/>
              </w:pBdr>
              <w:jc w:val="both"/>
              <w:rPr>
                <w:i/>
                <w:color w:val="000000"/>
                <w:lang w:val="da-DK"/>
              </w:rPr>
            </w:pPr>
            <w:r>
              <w:rPr>
                <w:i/>
                <w:color w:val="000000"/>
                <w:lang w:val="da-DK"/>
              </w:rPr>
              <w:t>Jeigu tiekėjas dėl pateisinamų priežasčių negali pateikti pirkimo vykdytojo reikalaujamų jo finansinį ir ekonominį pajėgumą įrodančių dokumentų, jis turi teisę pateikti kitus pirkimo vykdytojui priimtinus dokumentus.</w:t>
            </w:r>
          </w:p>
          <w:p w14:paraId="000003D4">
            <w:pPr>
              <w:pBdr>
                <w:top w:val="none" w:color="000000" w:sz="0" w:space="0"/>
                <w:left w:val="none" w:color="000000" w:sz="0" w:space="0"/>
                <w:bottom w:val="none" w:color="000000" w:sz="0" w:space="0"/>
                <w:right w:val="none" w:color="000000" w:sz="0" w:space="0"/>
                <w:between w:val="none" w:color="000000" w:sz="0" w:space="0"/>
              </w:pBdr>
              <w:jc w:val="both"/>
              <w:rPr>
                <w:color w:val="000000"/>
                <w:lang w:val="da-DK"/>
              </w:rPr>
            </w:pPr>
            <w:r>
              <w:rPr>
                <w:i/>
                <w:color w:val="000000"/>
                <w:lang w:val="da-DK"/>
              </w:rPr>
              <w:t>Pateikiami skenuoti dokumentai elektronine forma.</w:t>
            </w:r>
          </w:p>
        </w:tc>
        <w:tc>
          <w:tcPr>
            <w:tcW w:w="32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7A36A34">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Nustatomi tokie reikalavimai:</w:t>
            </w:r>
          </w:p>
          <w:p w14:paraId="4A0702D5">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jeigu pasiūlymą teikia ūkio subjektų grupė – reikalavimą turi atitikti visi kartu (pajėgumai sumuojami);</w:t>
            </w:r>
          </w:p>
          <w:p w14:paraId="6B18476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tiekėjas gali remtis kitų ūkio subjektų pajėgumais: reikalavimą turi atitikti visi kartu (šių ūkio subjektų pajėgumai gali būti sumuojami su tiekėjo pajėgumais). Pirkimo vykdytojas gali reikalauti, kad tiekėjas ir ūkio subjektai, kurių pajėgumais remiamasi, prisiimtų solidarią atsakomybę už pirkimo sutarties įvykdymą (pateikiamas dokumentas (sutartis ar kt.), įrodantis solidarios atsakomybės prisiėmimą pirkimo laimėjimo atveju);</w:t>
            </w:r>
          </w:p>
          <w:p w14:paraId="000003D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subtiekėjams šis reikalavimas nenustatomas</w:t>
            </w:r>
          </w:p>
        </w:tc>
      </w:tr>
    </w:tbl>
    <w:p w14:paraId="000003DA">
      <w:pPr>
        <w:pBdr>
          <w:top w:val="none" w:color="000000" w:sz="0" w:space="0"/>
          <w:left w:val="none" w:color="000000" w:sz="0" w:space="0"/>
          <w:bottom w:val="none" w:color="000000" w:sz="0" w:space="0"/>
          <w:right w:val="none" w:color="000000" w:sz="0" w:space="0"/>
          <w:between w:val="none" w:color="000000" w:sz="0" w:space="0"/>
        </w:pBdr>
        <w:rPr>
          <w:color w:val="000000"/>
        </w:rPr>
        <w:sectPr>
          <w:headerReference r:id="rId8" w:type="first"/>
          <w:footerReference r:id="rId10" w:type="first"/>
          <w:headerReference r:id="rId7" w:type="default"/>
          <w:footerReference r:id="rId9" w:type="default"/>
          <w:pgSz w:w="11906" w:h="16838"/>
          <w:pgMar w:top="1134" w:right="1041" w:bottom="1134" w:left="1701" w:header="720" w:footer="720" w:gutter="0"/>
          <w:cols w:space="720" w:num="1"/>
          <w:titlePg/>
        </w:sectPr>
      </w:pPr>
    </w:p>
    <w:p w14:paraId="000003DB">
      <w:pPr>
        <w:keepNext/>
        <w:keepLines/>
        <w:pBdr>
          <w:top w:val="none" w:color="000000" w:sz="0" w:space="0"/>
          <w:left w:val="none" w:color="000000" w:sz="0" w:space="0"/>
          <w:bottom w:val="none" w:color="000000" w:sz="0" w:space="0"/>
          <w:right w:val="none" w:color="000000" w:sz="0" w:space="0"/>
          <w:between w:val="none" w:color="000000" w:sz="0" w:space="0"/>
        </w:pBdr>
        <w:spacing w:before="160" w:after="80"/>
        <w:jc w:val="right"/>
        <w:rPr>
          <w:rFonts w:ascii="Calibri" w:hAnsi="Calibri" w:eastAsia="Calibri" w:cs="Calibri"/>
          <w:color w:val="2E74B5"/>
          <w:sz w:val="32"/>
          <w:szCs w:val="32"/>
        </w:rPr>
      </w:pPr>
      <w:bookmarkStart w:id="23" w:name="_heading=h.rvk83s3gptpm" w:colFirst="0" w:colLast="0"/>
      <w:bookmarkEnd w:id="23"/>
      <w:r>
        <w:rPr>
          <w:color w:val="000000"/>
        </w:rPr>
        <w:t>Pirkimo sąlygų 5 priedas „EBVPD“ (XML formatu)</w:t>
      </w:r>
    </w:p>
    <w:p w14:paraId="000003DC">
      <w:pPr>
        <w:pBdr>
          <w:top w:val="none" w:color="000000" w:sz="0" w:space="0"/>
          <w:left w:val="none" w:color="000000" w:sz="0" w:space="0"/>
          <w:bottom w:val="none" w:color="000000" w:sz="0" w:space="0"/>
          <w:right w:val="none" w:color="000000" w:sz="0" w:space="0"/>
          <w:between w:val="none" w:color="000000" w:sz="0" w:space="0"/>
        </w:pBdr>
        <w:rPr>
          <w:b/>
          <w:smallCaps/>
          <w:color w:val="000000"/>
        </w:rPr>
      </w:pPr>
    </w:p>
    <w:p w14:paraId="000003DD">
      <w:pPr>
        <w:pBdr>
          <w:top w:val="none" w:color="000000" w:sz="0" w:space="0"/>
          <w:left w:val="none" w:color="000000" w:sz="0" w:space="0"/>
          <w:bottom w:val="none" w:color="000000" w:sz="0" w:space="0"/>
          <w:right w:val="none" w:color="000000" w:sz="0" w:space="0"/>
          <w:between w:val="none" w:color="000000" w:sz="0" w:space="0"/>
        </w:pBdr>
        <w:jc w:val="center"/>
        <w:rPr>
          <w:color w:val="595959"/>
          <w:sz w:val="28"/>
          <w:szCs w:val="28"/>
        </w:rPr>
      </w:pPr>
      <w:r>
        <w:rPr>
          <w:b/>
          <w:color w:val="595959"/>
        </w:rPr>
        <w:t>EUROPOS BENDRASIS VIEŠŲJŲ PIRKIMŲ DOKUMENTAS</w:t>
      </w:r>
    </w:p>
    <w:p w14:paraId="000003DE">
      <w:pPr>
        <w:pBdr>
          <w:top w:val="none" w:color="000000" w:sz="0" w:space="0"/>
          <w:left w:val="none" w:color="000000" w:sz="0" w:space="0"/>
          <w:bottom w:val="none" w:color="000000" w:sz="0" w:space="0"/>
          <w:right w:val="none" w:color="000000" w:sz="0" w:space="0"/>
          <w:between w:val="none" w:color="000000" w:sz="0" w:space="0"/>
        </w:pBdr>
        <w:jc w:val="both"/>
        <w:rPr>
          <w:color w:val="000000"/>
        </w:rPr>
        <w:sectPr>
          <w:headerReference r:id="rId13" w:type="first"/>
          <w:footerReference r:id="rId16" w:type="first"/>
          <w:headerReference r:id="rId11" w:type="default"/>
          <w:footerReference r:id="rId14" w:type="default"/>
          <w:headerReference r:id="rId12" w:type="even"/>
          <w:footerReference r:id="rId15" w:type="even"/>
          <w:pgSz w:w="11906" w:h="16838"/>
          <w:pgMar w:top="1134" w:right="567" w:bottom="1134" w:left="1701" w:header="567" w:footer="567" w:gutter="0"/>
          <w:cols w:space="720" w:num="1"/>
        </w:sectPr>
      </w:pPr>
      <w:r>
        <w:rPr>
          <w:color w:val="000000"/>
        </w:rPr>
        <w:t>„Europos bendrasis viešųjų pirkimo dokumentas (EBVPD)“ pateikiamas elektroniniais formatas</w:t>
      </w:r>
    </w:p>
    <w:p w14:paraId="000003DF">
      <w:pPr>
        <w:keepNext/>
        <w:keepLines/>
        <w:pBdr>
          <w:top w:val="none" w:color="000000" w:sz="0" w:space="0"/>
          <w:left w:val="none" w:color="000000" w:sz="0" w:space="0"/>
          <w:bottom w:val="none" w:color="000000" w:sz="0" w:space="0"/>
          <w:right w:val="none" w:color="000000" w:sz="0" w:space="0"/>
          <w:between w:val="none" w:color="000000" w:sz="0" w:space="0"/>
        </w:pBdr>
        <w:spacing w:before="160" w:after="80"/>
        <w:jc w:val="right"/>
        <w:rPr>
          <w:color w:val="000000"/>
        </w:rPr>
      </w:pPr>
      <w:bookmarkStart w:id="24" w:name="_heading=h.clih3x1mma4x" w:colFirst="0" w:colLast="0"/>
      <w:bookmarkEnd w:id="24"/>
      <w:r>
        <w:rPr>
          <w:color w:val="000000"/>
        </w:rPr>
        <w:t>Pirkimo sąlygų 6 priedas „Pasiūlymo forma“</w:t>
      </w:r>
    </w:p>
    <w:p w14:paraId="000003E0">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p w14:paraId="000003E1">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Herbas arba prekių ženklas</w:t>
      </w:r>
    </w:p>
    <w:p w14:paraId="000003E2">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(Tiekėjo pavadinimas)</w:t>
      </w:r>
    </w:p>
    <w:p w14:paraId="000003E3">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00003E4">
      <w:pPr>
        <w:pBdr>
          <w:top w:val="none" w:color="000000" w:sz="0" w:space="0"/>
          <w:left w:val="none" w:color="000000" w:sz="0" w:space="0"/>
          <w:bottom w:val="none" w:color="000000" w:sz="0" w:space="0"/>
          <w:right w:val="none" w:color="000000" w:sz="0" w:space="0"/>
          <w:between w:val="none" w:color="000000" w:sz="0" w:space="0"/>
        </w:pBdr>
        <w:tabs>
          <w:tab w:val="center" w:pos="2520"/>
        </w:tabs>
        <w:jc w:val="both"/>
        <w:rPr>
          <w:b/>
          <w:color w:val="000000"/>
        </w:rPr>
      </w:pPr>
    </w:p>
    <w:p w14:paraId="000003E5">
      <w:pPr>
        <w:pBdr>
          <w:top w:val="none" w:color="000000" w:sz="0" w:space="0"/>
          <w:left w:val="none" w:color="000000" w:sz="0" w:space="0"/>
          <w:bottom w:val="none" w:color="000000" w:sz="0" w:space="0"/>
          <w:right w:val="none" w:color="000000" w:sz="0" w:space="0"/>
          <w:between w:val="none" w:color="000000" w:sz="0" w:space="0"/>
        </w:pBdr>
        <w:tabs>
          <w:tab w:val="center" w:pos="2520"/>
        </w:tabs>
        <w:jc w:val="both"/>
        <w:rPr>
          <w:b/>
          <w:color w:val="000000"/>
        </w:rPr>
      </w:pPr>
    </w:p>
    <w:p w14:paraId="000003E6">
      <w:pPr>
        <w:pBdr>
          <w:top w:val="none" w:color="000000" w:sz="0" w:space="0"/>
          <w:left w:val="none" w:color="000000" w:sz="0" w:space="0"/>
          <w:bottom w:val="none" w:color="000000" w:sz="0" w:space="0"/>
          <w:right w:val="none" w:color="000000" w:sz="0" w:space="0"/>
          <w:between w:val="none" w:color="000000" w:sz="0" w:space="0"/>
        </w:pBdr>
        <w:tabs>
          <w:tab w:val="right" w:pos="8505"/>
        </w:tabs>
        <w:rPr>
          <w:b/>
          <w:color w:val="000000"/>
        </w:rPr>
      </w:pPr>
      <w:r>
        <w:rPr>
          <w:b/>
          <w:color w:val="000000"/>
        </w:rPr>
        <w:t>Savivaldybės įmonė Vilniaus rajono autobusų parkas</w:t>
      </w:r>
    </w:p>
    <w:p w14:paraId="000003E7">
      <w:pPr>
        <w:pBdr>
          <w:top w:val="none" w:color="000000" w:sz="0" w:space="0"/>
          <w:left w:val="none" w:color="000000" w:sz="0" w:space="0"/>
          <w:bottom w:val="none" w:color="000000" w:sz="0" w:space="0"/>
          <w:right w:val="none" w:color="000000" w:sz="0" w:space="0"/>
          <w:between w:val="none" w:color="000000" w:sz="0" w:space="0"/>
        </w:pBdr>
        <w:tabs>
          <w:tab w:val="right" w:pos="8505"/>
        </w:tabs>
        <w:rPr>
          <w:b/>
          <w:color w:val="000000"/>
        </w:rPr>
      </w:pPr>
    </w:p>
    <w:p w14:paraId="000003E8">
      <w:pPr>
        <w:pBdr>
          <w:top w:val="none" w:color="000000" w:sz="0" w:space="0"/>
          <w:left w:val="none" w:color="000000" w:sz="0" w:space="0"/>
          <w:bottom w:val="none" w:color="000000" w:sz="0" w:space="0"/>
          <w:right w:val="none" w:color="000000" w:sz="0" w:space="0"/>
          <w:between w:val="none" w:color="000000" w:sz="0" w:space="0"/>
        </w:pBdr>
        <w:tabs>
          <w:tab w:val="right" w:pos="8505"/>
        </w:tabs>
        <w:rPr>
          <w:b/>
          <w:color w:val="000000"/>
        </w:rPr>
      </w:pPr>
    </w:p>
    <w:p w14:paraId="233C5A62">
      <w:pPr>
        <w:pBdr>
          <w:top w:val="none" w:color="000000" w:sz="0" w:space="0"/>
          <w:left w:val="none" w:color="000000" w:sz="0" w:space="0"/>
          <w:bottom w:val="none" w:color="000000" w:sz="0" w:space="0"/>
          <w:right w:val="none" w:color="000000" w:sz="0" w:space="0"/>
          <w:between w:val="none" w:color="000000" w:sz="0" w:space="0"/>
        </w:pBdr>
        <w:tabs>
          <w:tab w:val="right" w:pos="8505"/>
        </w:tabs>
        <w:jc w:val="center"/>
        <w:rPr>
          <w:b/>
          <w:color w:val="000000"/>
        </w:rPr>
      </w:pPr>
      <w:r>
        <w:rPr>
          <w:b/>
          <w:color w:val="000000"/>
        </w:rPr>
        <w:t xml:space="preserve">PASIŪLYMAS 3 VNT. NAUDOTŲ DYZELINU VAROMŲ AUTOBUSŲ PIRKIMUI </w:t>
      </w:r>
    </w:p>
    <w:p w14:paraId="000003E9">
      <w:pPr>
        <w:pBdr>
          <w:top w:val="none" w:color="000000" w:sz="0" w:space="0"/>
          <w:left w:val="none" w:color="000000" w:sz="0" w:space="0"/>
          <w:bottom w:val="none" w:color="000000" w:sz="0" w:space="0"/>
          <w:right w:val="none" w:color="000000" w:sz="0" w:space="0"/>
          <w:between w:val="none" w:color="000000" w:sz="0" w:space="0"/>
        </w:pBdr>
        <w:tabs>
          <w:tab w:val="right" w:pos="8505"/>
        </w:tabs>
        <w:jc w:val="center"/>
        <w:rPr>
          <w:b/>
          <w:color w:val="000000"/>
        </w:rPr>
      </w:pPr>
      <w:r>
        <w:rPr>
          <w:b/>
          <w:color w:val="000000"/>
        </w:rPr>
        <w:t xml:space="preserve">(I dalis) </w:t>
      </w:r>
    </w:p>
    <w:p w14:paraId="000003EA">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p w14:paraId="000003EB">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(Data)</w:t>
      </w:r>
    </w:p>
    <w:p w14:paraId="000003EC">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(Sudarymo vieta)</w:t>
      </w:r>
    </w:p>
    <w:p w14:paraId="000003ED">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p w14:paraId="000003EE">
      <w:pPr>
        <w:pBdr>
          <w:top w:val="none" w:color="000000" w:sz="0" w:space="0"/>
          <w:left w:val="none" w:color="000000" w:sz="0" w:space="0"/>
          <w:bottom w:val="none" w:color="000000" w:sz="0" w:space="0"/>
          <w:right w:val="none" w:color="000000" w:sz="0" w:space="0"/>
          <w:between w:val="none" w:color="000000" w:sz="0" w:space="0"/>
        </w:pBdr>
        <w:jc w:val="both"/>
        <w:rPr>
          <w:color w:val="000000"/>
        </w:rPr>
      </w:pPr>
    </w:p>
    <w:tbl>
      <w:tblPr>
        <w:tblStyle w:val="137"/>
        <w:tblW w:w="10059" w:type="dxa"/>
        <w:tblInd w:w="0" w:type="dxa"/>
        <w:tblLayout w:type="fixed"/>
        <w:tblCellMar>
          <w:top w:w="0" w:type="dxa"/>
          <w:left w:w="10" w:type="dxa"/>
          <w:bottom w:w="0" w:type="dxa"/>
          <w:right w:w="10" w:type="dxa"/>
        </w:tblCellMar>
      </w:tblPr>
      <w:tblGrid>
        <w:gridCol w:w="6801"/>
        <w:gridCol w:w="3258"/>
      </w:tblGrid>
      <w:tr w14:paraId="1159F0EC">
        <w:tblPrEx>
          <w:tblCellMar>
            <w:top w:w="0" w:type="dxa"/>
            <w:left w:w="10" w:type="dxa"/>
            <w:bottom w:w="0" w:type="dxa"/>
            <w:right w:w="10" w:type="dxa"/>
          </w:tblCellMar>
        </w:tblPrEx>
        <w:trPr>
          <w:trHeight w:val="560" w:hRule="atLeast"/>
        </w:trPr>
        <w:tc>
          <w:tcPr>
            <w:tcW w:w="6801"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tcPr>
          <w:p w14:paraId="000003EF">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b/>
                <w:color w:val="000000"/>
              </w:rPr>
              <w:t>Tiekėjo pavadinimas</w:t>
            </w:r>
            <w:r>
              <w:rPr>
                <w:color w:val="000000"/>
              </w:rPr>
              <w:t xml:space="preserve"> </w:t>
            </w:r>
            <w:r>
              <w:rPr>
                <w:i/>
                <w:color w:val="000000"/>
              </w:rPr>
              <w:t>(jeigu dalyvauja tiekėjų grupė, surašomi visi dalyvių pavadinimai)</w:t>
            </w:r>
          </w:p>
        </w:tc>
        <w:tc>
          <w:tcPr>
            <w:tcW w:w="3258"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tcPr>
          <w:p w14:paraId="000003F0">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F1">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427C440F">
        <w:tblPrEx>
          <w:tblCellMar>
            <w:top w:w="0" w:type="dxa"/>
            <w:left w:w="10" w:type="dxa"/>
            <w:bottom w:w="0" w:type="dxa"/>
            <w:right w:w="10" w:type="dxa"/>
          </w:tblCellMar>
        </w:tblPrEx>
        <w:trPr>
          <w:trHeight w:val="576" w:hRule="atLeast"/>
        </w:trPr>
        <w:tc>
          <w:tcPr>
            <w:tcW w:w="68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F2">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Tiekėjo adresas</w:t>
            </w:r>
            <w:r>
              <w:rPr>
                <w:i/>
                <w:color w:val="000000"/>
              </w:rPr>
              <w:t xml:space="preserve"> (jeigu dalyvauja tiekėjų grupė, surašomi visi dalyvių adresai)</w:t>
            </w:r>
          </w:p>
        </w:tc>
        <w:tc>
          <w:tcPr>
            <w:tcW w:w="32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F3">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3F4">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344BC160">
        <w:tblPrEx>
          <w:tblCellMar>
            <w:top w:w="0" w:type="dxa"/>
            <w:left w:w="10" w:type="dxa"/>
            <w:bottom w:w="0" w:type="dxa"/>
            <w:right w:w="10" w:type="dxa"/>
          </w:tblCellMar>
        </w:tblPrEx>
        <w:trPr>
          <w:trHeight w:val="226" w:hRule="atLeast"/>
        </w:trPr>
        <w:tc>
          <w:tcPr>
            <w:tcW w:w="68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F5">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Už pasiūlymą atsakingo asmens vardas, pavardė</w:t>
            </w:r>
          </w:p>
        </w:tc>
        <w:tc>
          <w:tcPr>
            <w:tcW w:w="32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F6">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5946561E">
        <w:tblPrEx>
          <w:tblCellMar>
            <w:top w:w="0" w:type="dxa"/>
            <w:left w:w="10" w:type="dxa"/>
            <w:bottom w:w="0" w:type="dxa"/>
            <w:right w:w="10" w:type="dxa"/>
          </w:tblCellMar>
        </w:tblPrEx>
        <w:trPr>
          <w:trHeight w:val="280" w:hRule="atLeast"/>
        </w:trPr>
        <w:tc>
          <w:tcPr>
            <w:tcW w:w="68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F7">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Telefono numeris</w:t>
            </w:r>
          </w:p>
        </w:tc>
        <w:tc>
          <w:tcPr>
            <w:tcW w:w="32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F8">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7A62995B">
        <w:tblPrEx>
          <w:tblCellMar>
            <w:top w:w="0" w:type="dxa"/>
            <w:left w:w="10" w:type="dxa"/>
            <w:bottom w:w="0" w:type="dxa"/>
            <w:right w:w="10" w:type="dxa"/>
          </w:tblCellMar>
        </w:tblPrEx>
        <w:trPr>
          <w:trHeight w:val="280" w:hRule="atLeast"/>
        </w:trPr>
        <w:tc>
          <w:tcPr>
            <w:tcW w:w="680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F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El. pašto adresas</w:t>
            </w:r>
          </w:p>
        </w:tc>
        <w:tc>
          <w:tcPr>
            <w:tcW w:w="32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FA">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bl>
    <w:p w14:paraId="000003FB">
      <w:pPr>
        <w:pBdr>
          <w:top w:val="none" w:color="000000" w:sz="0" w:space="0"/>
          <w:left w:val="none" w:color="000000" w:sz="0" w:space="0"/>
          <w:bottom w:val="none" w:color="000000" w:sz="0" w:space="0"/>
          <w:right w:val="none" w:color="000000" w:sz="0" w:space="0"/>
          <w:between w:val="none" w:color="000000" w:sz="0" w:space="0"/>
        </w:pBdr>
        <w:jc w:val="both"/>
        <w:rPr>
          <w:color w:val="000000"/>
        </w:rPr>
      </w:pPr>
    </w:p>
    <w:tbl>
      <w:tblPr>
        <w:tblStyle w:val="138"/>
        <w:tblW w:w="10060" w:type="dxa"/>
        <w:tblInd w:w="0" w:type="dxa"/>
        <w:tblLayout w:type="fixed"/>
        <w:tblCellMar>
          <w:top w:w="0" w:type="dxa"/>
          <w:left w:w="10" w:type="dxa"/>
          <w:bottom w:w="0" w:type="dxa"/>
          <w:right w:w="10" w:type="dxa"/>
        </w:tblCellMar>
      </w:tblPr>
      <w:tblGrid>
        <w:gridCol w:w="6799"/>
        <w:gridCol w:w="3261"/>
      </w:tblGrid>
      <w:tr w14:paraId="33A23DCF">
        <w:tblPrEx>
          <w:tblCellMar>
            <w:top w:w="0" w:type="dxa"/>
            <w:left w:w="10" w:type="dxa"/>
            <w:bottom w:w="0" w:type="dxa"/>
            <w:right w:w="10" w:type="dxa"/>
          </w:tblCellMar>
        </w:tblPrEx>
        <w:tc>
          <w:tcPr>
            <w:tcW w:w="6799"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tcPr>
          <w:p w14:paraId="000003FC">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p w14:paraId="000003F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b/>
                <w:color w:val="000000"/>
              </w:rPr>
              <w:t>Kito ūkio subjekto, kurio pajėgumais (t. y. kvalifikacija) remiamasi,</w:t>
            </w:r>
            <w:r>
              <w:rPr>
                <w:color w:val="000000"/>
              </w:rPr>
              <w:t xml:space="preserve"> </w:t>
            </w:r>
            <w:r>
              <w:rPr>
                <w:b/>
                <w:color w:val="000000"/>
              </w:rPr>
              <w:t>pavadinimas</w:t>
            </w:r>
            <w:r>
              <w:rPr>
                <w:color w:val="000000"/>
              </w:rPr>
              <w:t xml:space="preserve"> </w:t>
            </w:r>
          </w:p>
        </w:tc>
        <w:tc>
          <w:tcPr>
            <w:tcW w:w="3261"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tcPr>
          <w:p w14:paraId="000003FE">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7229EA84">
        <w:tblPrEx>
          <w:tblCellMar>
            <w:top w:w="0" w:type="dxa"/>
            <w:left w:w="10" w:type="dxa"/>
            <w:bottom w:w="0" w:type="dxa"/>
            <w:right w:w="10" w:type="dxa"/>
          </w:tblCellMar>
        </w:tblPrEx>
        <w:tc>
          <w:tcPr>
            <w:tcW w:w="6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3FF">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Kito ūkio subjekto adresas </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0">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4D16AC42">
        <w:tblPrEx>
          <w:tblCellMar>
            <w:top w:w="0" w:type="dxa"/>
            <w:left w:w="10" w:type="dxa"/>
            <w:bottom w:w="0" w:type="dxa"/>
            <w:right w:w="10" w:type="dxa"/>
          </w:tblCellMar>
        </w:tblPrEx>
        <w:tc>
          <w:tcPr>
            <w:tcW w:w="6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1">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Įsipareigojimų dalis (procentais), kuriai ketinama pasitelkti kitą ūkio subjektą.</w:t>
            </w:r>
          </w:p>
          <w:p w14:paraId="00000402">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Šioje eilutėje turi būti pateikta informaciją apie perduodamų įsipareigojimų dalį (procentais), kuriai ketinama pasitelkti kitą subjektą</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3">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79DB45CD">
        <w:tblPrEx>
          <w:tblCellMar>
            <w:top w:w="0" w:type="dxa"/>
            <w:left w:w="10" w:type="dxa"/>
            <w:bottom w:w="0" w:type="dxa"/>
            <w:right w:w="10" w:type="dxa"/>
          </w:tblCellMar>
        </w:tblPrEx>
        <w:tc>
          <w:tcPr>
            <w:tcW w:w="6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4">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Įsipareigojimai, kuriuos numatoma perduoti kitam ūkio subjektui</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5">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p>
        </w:tc>
      </w:tr>
      <w:tr w14:paraId="6C11C3E7">
        <w:tblPrEx>
          <w:tblCellMar>
            <w:top w:w="0" w:type="dxa"/>
            <w:left w:w="10" w:type="dxa"/>
            <w:bottom w:w="0" w:type="dxa"/>
            <w:right w:w="10" w:type="dxa"/>
          </w:tblCellMar>
        </w:tblPrEx>
        <w:trPr>
          <w:trHeight w:val="20" w:hRule="atLeast"/>
        </w:trPr>
        <w:tc>
          <w:tcPr>
            <w:tcW w:w="6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6">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Pvz.: Kvalifikuotas transporto specialistas</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7">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00956DA2">
        <w:tblPrEx>
          <w:tblCellMar>
            <w:top w:w="0" w:type="dxa"/>
            <w:left w:w="10" w:type="dxa"/>
            <w:bottom w:w="0" w:type="dxa"/>
            <w:right w:w="10" w:type="dxa"/>
          </w:tblCellMar>
        </w:tblPrEx>
        <w:trPr>
          <w:trHeight w:val="20" w:hRule="atLeast"/>
        </w:trPr>
        <w:tc>
          <w:tcPr>
            <w:tcW w:w="6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8">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r>
              <w:rPr>
                <w:color w:val="000000"/>
                <w:lang w:val="sv-SE"/>
              </w:rPr>
              <w:t>Pvz.: Kvalifikuotas informacinių technologijų specialistas</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9">
            <w:pPr>
              <w:pBdr>
                <w:top w:val="none" w:color="000000" w:sz="0" w:space="0"/>
                <w:left w:val="none" w:color="000000" w:sz="0" w:space="0"/>
                <w:bottom w:val="none" w:color="000000" w:sz="0" w:space="0"/>
                <w:right w:val="none" w:color="000000" w:sz="0" w:space="0"/>
                <w:between w:val="none" w:color="000000" w:sz="0" w:space="0"/>
              </w:pBdr>
              <w:jc w:val="both"/>
              <w:rPr>
                <w:color w:val="000000"/>
                <w:lang w:val="sv-SE"/>
              </w:rPr>
            </w:pPr>
          </w:p>
        </w:tc>
      </w:tr>
      <w:tr w14:paraId="7F9B84F0">
        <w:tblPrEx>
          <w:tblCellMar>
            <w:top w:w="0" w:type="dxa"/>
            <w:left w:w="10" w:type="dxa"/>
            <w:bottom w:w="0" w:type="dxa"/>
            <w:right w:w="10" w:type="dxa"/>
          </w:tblCellMar>
        </w:tblPrEx>
        <w:trPr>
          <w:trHeight w:val="20" w:hRule="atLeast"/>
        </w:trPr>
        <w:tc>
          <w:tcPr>
            <w:tcW w:w="6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A">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Pvz.: Kvalifikuotas mokymų specialistas</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0B">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bl>
    <w:p w14:paraId="0000040C">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i/>
          <w:color w:val="000000"/>
        </w:rPr>
        <w:t>Pastaba. Pildoma, jei tiekėjas ketina pasitelkti kitus ūkio subjektus,</w:t>
      </w:r>
      <w:r>
        <w:rPr>
          <w:color w:val="000000"/>
        </w:rPr>
        <w:t xml:space="preserve"> </w:t>
      </w:r>
      <w:r>
        <w:rPr>
          <w:i/>
          <w:color w:val="000000"/>
        </w:rPr>
        <w:t>kurių pajėgumais (kvalifikacija) remiamasi, kvazisubtiekėjus.</w:t>
      </w:r>
    </w:p>
    <w:p w14:paraId="0000040D">
      <w:pPr>
        <w:pBdr>
          <w:top w:val="none" w:color="000000" w:sz="0" w:space="0"/>
          <w:left w:val="none" w:color="000000" w:sz="0" w:space="0"/>
          <w:bottom w:val="none" w:color="000000" w:sz="0" w:space="0"/>
          <w:right w:val="none" w:color="000000" w:sz="0" w:space="0"/>
          <w:between w:val="none" w:color="000000" w:sz="0" w:space="0"/>
        </w:pBdr>
        <w:jc w:val="both"/>
        <w:rPr>
          <w:i/>
          <w:color w:val="000000"/>
        </w:rPr>
      </w:pPr>
    </w:p>
    <w:p w14:paraId="0000040E">
      <w:pPr>
        <w:jc w:val="right"/>
      </w:pPr>
    </w:p>
    <w:tbl>
      <w:tblPr>
        <w:tblStyle w:val="139"/>
        <w:tblW w:w="10060" w:type="dxa"/>
        <w:tblInd w:w="0" w:type="dxa"/>
        <w:tblLayout w:type="fixed"/>
        <w:tblCellMar>
          <w:top w:w="0" w:type="dxa"/>
          <w:left w:w="10" w:type="dxa"/>
          <w:bottom w:w="0" w:type="dxa"/>
          <w:right w:w="10" w:type="dxa"/>
        </w:tblCellMar>
      </w:tblPr>
      <w:tblGrid>
        <w:gridCol w:w="6799"/>
        <w:gridCol w:w="3261"/>
      </w:tblGrid>
      <w:tr w14:paraId="0C47E806">
        <w:tblPrEx>
          <w:tblCellMar>
            <w:top w:w="0" w:type="dxa"/>
            <w:left w:w="10" w:type="dxa"/>
            <w:bottom w:w="0" w:type="dxa"/>
            <w:right w:w="10" w:type="dxa"/>
          </w:tblCellMar>
        </w:tblPrEx>
        <w:tc>
          <w:tcPr>
            <w:tcW w:w="6799"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tcPr>
          <w:p w14:paraId="0000040F">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b/>
                <w:color w:val="000000"/>
              </w:rPr>
              <w:t xml:space="preserve">Subrangovo pavadinimas, kodas ir atstovas </w:t>
            </w:r>
            <w:r>
              <w:rPr>
                <w:i/>
                <w:color w:val="000000"/>
              </w:rPr>
              <w:t xml:space="preserve">(sutarties vykdymui pasitelkiamas trečiasis asmuo, kurio kvalifikacija tiekėjas nesiremia, kad atitiktų kvalifikacijos reikalavimus </w:t>
            </w:r>
          </w:p>
        </w:tc>
        <w:tc>
          <w:tcPr>
            <w:tcW w:w="3261" w:type="dxa"/>
            <w:tcBorders>
              <w:top w:val="single" w:color="000000" w:sz="4" w:space="0"/>
              <w:left w:val="single" w:color="000000" w:sz="4" w:space="0"/>
              <w:bottom w:val="single" w:color="000000" w:sz="4" w:space="0"/>
              <w:right w:val="single" w:color="000000" w:sz="4" w:space="0"/>
            </w:tcBorders>
            <w:shd w:val="clear" w:color="auto" w:fill="F2F2F2"/>
            <w:tcMar>
              <w:top w:w="0" w:type="dxa"/>
              <w:left w:w="108" w:type="dxa"/>
              <w:bottom w:w="0" w:type="dxa"/>
              <w:right w:w="108" w:type="dxa"/>
            </w:tcMar>
          </w:tcPr>
          <w:p w14:paraId="00000410">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3D9CDE5C">
        <w:tblPrEx>
          <w:tblCellMar>
            <w:top w:w="0" w:type="dxa"/>
            <w:left w:w="10" w:type="dxa"/>
            <w:bottom w:w="0" w:type="dxa"/>
            <w:right w:w="10" w:type="dxa"/>
          </w:tblCellMar>
        </w:tblPrEx>
        <w:tc>
          <w:tcPr>
            <w:tcW w:w="6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1">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Subrangovo adresas </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2">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460B4165">
        <w:tblPrEx>
          <w:tblCellMar>
            <w:top w:w="0" w:type="dxa"/>
            <w:left w:w="10" w:type="dxa"/>
            <w:bottom w:w="0" w:type="dxa"/>
            <w:right w:w="10" w:type="dxa"/>
          </w:tblCellMar>
        </w:tblPrEx>
        <w:tc>
          <w:tcPr>
            <w:tcW w:w="6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3">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Subrangovui perduodamos vykdyti sutartinės prievolės</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4">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38D88E97">
        <w:tblPrEx>
          <w:tblCellMar>
            <w:top w:w="0" w:type="dxa"/>
            <w:left w:w="10" w:type="dxa"/>
            <w:bottom w:w="0" w:type="dxa"/>
            <w:right w:w="10" w:type="dxa"/>
          </w:tblCellMar>
        </w:tblPrEx>
        <w:tc>
          <w:tcPr>
            <w:tcW w:w="679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5">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Šioje eilutėje turi būti pateikta informaciją apie perduodamų įsipareigojimų dalį (procentais), kuriai ketinama pasitelkti subtiekėją</w:t>
            </w:r>
          </w:p>
        </w:tc>
        <w:tc>
          <w:tcPr>
            <w:tcW w:w="326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6">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bl>
    <w:p w14:paraId="00000417">
      <w:pPr>
        <w:pBdr>
          <w:top w:val="none" w:color="000000" w:sz="0" w:space="0"/>
          <w:left w:val="none" w:color="000000" w:sz="0" w:space="0"/>
          <w:bottom w:val="none" w:color="000000" w:sz="0" w:space="0"/>
          <w:right w:val="none" w:color="000000" w:sz="0" w:space="0"/>
          <w:between w:val="none" w:color="000000" w:sz="0" w:space="0"/>
        </w:pBdr>
        <w:jc w:val="both"/>
        <w:rPr>
          <w:i/>
          <w:color w:val="000000"/>
        </w:rPr>
      </w:pPr>
      <w:r>
        <w:rPr>
          <w:i/>
          <w:color w:val="000000"/>
        </w:rPr>
        <w:t>Pastaba. Pildoma, jei tiekėjas sutartinėms prievolėms (ne kvalifikacijai) vykdyti pasitelkia subrangovus.</w:t>
      </w:r>
    </w:p>
    <w:p w14:paraId="00000418">
      <w:pPr>
        <w:pBdr>
          <w:top w:val="none" w:color="000000" w:sz="0" w:space="0"/>
          <w:left w:val="none" w:color="000000" w:sz="0" w:space="0"/>
          <w:bottom w:val="none" w:color="000000" w:sz="0" w:space="0"/>
          <w:right w:val="none" w:color="000000" w:sz="0" w:space="0"/>
          <w:between w:val="none" w:color="000000" w:sz="0" w:space="0"/>
        </w:pBdr>
        <w:jc w:val="both"/>
        <w:rPr>
          <w:color w:val="000000"/>
        </w:rPr>
      </w:pPr>
    </w:p>
    <w:tbl>
      <w:tblPr>
        <w:tblStyle w:val="140"/>
        <w:tblW w:w="10060" w:type="dxa"/>
        <w:tblInd w:w="0" w:type="dxa"/>
        <w:tblLayout w:type="fixed"/>
        <w:tblCellMar>
          <w:top w:w="0" w:type="dxa"/>
          <w:left w:w="10" w:type="dxa"/>
          <w:bottom w:w="0" w:type="dxa"/>
          <w:right w:w="10" w:type="dxa"/>
        </w:tblCellMar>
      </w:tblPr>
      <w:tblGrid>
        <w:gridCol w:w="6648"/>
        <w:gridCol w:w="3412"/>
      </w:tblGrid>
      <w:tr w14:paraId="66E31AF5">
        <w:tblPrEx>
          <w:tblCellMar>
            <w:top w:w="0" w:type="dxa"/>
            <w:left w:w="10" w:type="dxa"/>
            <w:bottom w:w="0" w:type="dxa"/>
            <w:right w:w="10" w:type="dxa"/>
          </w:tblCellMar>
        </w:tblPrEx>
        <w:tc>
          <w:tcPr>
            <w:tcW w:w="66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Trečiųjų asmenų adresas (-ai) </w:t>
            </w:r>
          </w:p>
        </w:tc>
        <w:tc>
          <w:tcPr>
            <w:tcW w:w="341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A">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318E1C9F">
        <w:tblPrEx>
          <w:tblCellMar>
            <w:top w:w="0" w:type="dxa"/>
            <w:left w:w="10" w:type="dxa"/>
            <w:bottom w:w="0" w:type="dxa"/>
            <w:right w:w="10" w:type="dxa"/>
          </w:tblCellMar>
        </w:tblPrEx>
        <w:tc>
          <w:tcPr>
            <w:tcW w:w="66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B">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Tiekėjui suteikiamos naudoti  priemonės (pvz. patalpos, įranga)</w:t>
            </w:r>
          </w:p>
        </w:tc>
        <w:tc>
          <w:tcPr>
            <w:tcW w:w="341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1C">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bl>
    <w:p w14:paraId="0000041D">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rPr>
      </w:pPr>
      <w:r>
        <w:rPr>
          <w:i/>
          <w:color w:val="000000"/>
        </w:rPr>
        <w:t>Pastaba. Pildoma, jei tiekėjas naudojasi (naudosis) trečiųjų asmenų, kurie tiesiogiai aktyviai</w:t>
      </w:r>
    </w:p>
    <w:p w14:paraId="0000041E">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41F">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rPr>
      </w:pPr>
      <w:r>
        <w:rPr>
          <w:color w:val="000000"/>
        </w:rPr>
        <w:t>Šiuo pasiūlymu pažymime, kad:</w:t>
      </w:r>
    </w:p>
    <w:p w14:paraId="00000420">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1. Sutinkame su visomis Pirkimo sąlygomis, nustatytomis:</w:t>
      </w:r>
    </w:p>
    <w:p w14:paraId="00000421">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(i) skelbime apie Pirkimą, paskelbtame CVP IS;</w:t>
      </w:r>
    </w:p>
    <w:p w14:paraId="00000422">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(ii) konkurso sąlygose; </w:t>
      </w:r>
    </w:p>
    <w:p w14:paraId="00000423">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(iii) kituose Pirkimo dokumentuose (jų paaiškinimuose, papildymuose).</w:t>
      </w:r>
    </w:p>
    <w:p w14:paraId="00000424">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2. Atitinkame visus Pirkimo dokumentuose keliamus reikalavimus dėl pašalinimo pagrindų nebuvimo ir, jeigu taikoma, atitikties kvalifikacijos reikalavimams, kokybės vadybos sistemos ir aplinkos apsaugos vadybos sistemos standartams ir teikiame duomenis bei kitus dokumentus pagal Pirkimo dokumentų reikalavimus. </w:t>
      </w:r>
    </w:p>
    <w:p w14:paraId="00000425">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3. Pateikdami užpildytą EBVPD deklaruojame, kad pasitelkti (jeigu pasitelkiami) subteikėjai, subtiekėjai, subrangovai, specialistai ir (ar) kiti ūkio subjektai  atitinka   jiems keliamus reikalavimus, nurodytus konkurso sąlygose. </w:t>
      </w:r>
    </w:p>
    <w:p w14:paraId="00000426">
      <w:pPr>
        <w:widowControl w:val="0"/>
        <w:pBdr>
          <w:top w:val="none" w:color="000000" w:sz="0" w:space="0"/>
          <w:left w:val="none" w:color="000000" w:sz="0" w:space="0"/>
          <w:bottom w:val="none" w:color="000000" w:sz="0" w:space="0"/>
          <w:right w:val="none" w:color="000000" w:sz="0" w:space="0"/>
          <w:between w:val="none" w:color="000000" w:sz="0" w:space="0"/>
        </w:pBdr>
        <w:tabs>
          <w:tab w:val="left" w:pos="709"/>
        </w:tabs>
        <w:jc w:val="both"/>
        <w:rPr>
          <w:i/>
          <w:color w:val="000000"/>
        </w:rPr>
      </w:pPr>
    </w:p>
    <w:p w14:paraId="00000427">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Mes siūlome šias prekes ir patvirtiname, kad mūsų siūlomos Paslaugos atitinka visus šiuose pirkimo dokumentuose nurodytus keliamus reikalavimus:</w:t>
      </w:r>
    </w:p>
    <w:p w14:paraId="00000428">
      <w:pPr>
        <w:pBdr>
          <w:top w:val="none" w:color="000000" w:sz="0" w:space="0"/>
          <w:left w:val="none" w:color="000000" w:sz="0" w:space="0"/>
          <w:bottom w:val="none" w:color="000000" w:sz="0" w:space="0"/>
          <w:right w:val="none" w:color="000000" w:sz="0" w:space="0"/>
          <w:between w:val="none" w:color="000000" w:sz="0" w:space="0"/>
        </w:pBdr>
        <w:jc w:val="both"/>
        <w:rPr>
          <w:color w:val="000000"/>
        </w:rPr>
      </w:pPr>
    </w:p>
    <w:tbl>
      <w:tblPr>
        <w:tblStyle w:val="141"/>
        <w:tblW w:w="9777" w:type="dxa"/>
        <w:tblInd w:w="0" w:type="dxa"/>
        <w:tblLayout w:type="fixed"/>
        <w:tblCellMar>
          <w:top w:w="0" w:type="dxa"/>
          <w:left w:w="10" w:type="dxa"/>
          <w:bottom w:w="0" w:type="dxa"/>
          <w:right w:w="10" w:type="dxa"/>
        </w:tblCellMar>
      </w:tblPr>
      <w:tblGrid>
        <w:gridCol w:w="756"/>
        <w:gridCol w:w="3951"/>
        <w:gridCol w:w="849"/>
        <w:gridCol w:w="826"/>
        <w:gridCol w:w="1213"/>
        <w:gridCol w:w="2182"/>
      </w:tblGrid>
      <w:tr w14:paraId="33ECBDA7">
        <w:tblPrEx>
          <w:tblCellMar>
            <w:top w:w="0" w:type="dxa"/>
            <w:left w:w="10" w:type="dxa"/>
            <w:bottom w:w="0" w:type="dxa"/>
            <w:right w:w="10" w:type="dxa"/>
          </w:tblCellMar>
        </w:tblPrEx>
        <w:tc>
          <w:tcPr>
            <w:tcW w:w="7595" w:type="dxa"/>
            <w:gridSpan w:val="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29">
            <w:pPr>
              <w:pBdr>
                <w:top w:val="none" w:color="000000" w:sz="0" w:space="0"/>
                <w:left w:val="none" w:color="000000" w:sz="0" w:space="0"/>
                <w:bottom w:val="none" w:color="000000" w:sz="0" w:space="0"/>
                <w:right w:val="none" w:color="000000" w:sz="0" w:space="0"/>
                <w:between w:val="none" w:color="000000" w:sz="0" w:space="0"/>
              </w:pBdr>
              <w:jc w:val="right"/>
              <w:rPr>
                <w:color w:val="000000"/>
              </w:rPr>
            </w:pPr>
            <w:r>
              <w:rPr>
                <w:color w:val="000000"/>
              </w:rPr>
              <w:t>Pasiūlymo valiuta:</w:t>
            </w:r>
          </w:p>
        </w:tc>
        <w:tc>
          <w:tcPr>
            <w:tcW w:w="218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2E">
            <w:pPr>
              <w:pBdr>
                <w:top w:val="none" w:color="000000" w:sz="0" w:space="0"/>
                <w:left w:val="none" w:color="000000" w:sz="0" w:space="0"/>
                <w:bottom w:val="none" w:color="000000" w:sz="0" w:space="0"/>
                <w:right w:val="none" w:color="000000" w:sz="0" w:space="0"/>
                <w:between w:val="none" w:color="000000" w:sz="0" w:space="0"/>
              </w:pBdr>
              <w:ind w:right="404"/>
              <w:rPr>
                <w:color w:val="000000"/>
              </w:rPr>
            </w:pPr>
            <w:r>
              <w:rPr>
                <w:i/>
                <w:color w:val="000000"/>
              </w:rPr>
              <w:t>Eurai</w:t>
            </w:r>
          </w:p>
        </w:tc>
      </w:tr>
      <w:tr w14:paraId="1C348ADC">
        <w:tblPrEx>
          <w:tblCellMar>
            <w:top w:w="0" w:type="dxa"/>
            <w:left w:w="10" w:type="dxa"/>
            <w:bottom w:w="0" w:type="dxa"/>
            <w:right w:w="10" w:type="dxa"/>
          </w:tblCellMar>
        </w:tblPrEx>
        <w:tc>
          <w:tcPr>
            <w:tcW w:w="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2F">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Eil. Nr.</w:t>
            </w:r>
          </w:p>
        </w:tc>
        <w:tc>
          <w:tcPr>
            <w:tcW w:w="395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0">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Prekių pavadinimas</w:t>
            </w:r>
          </w:p>
          <w:p w14:paraId="00000431">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c>
          <w:tcPr>
            <w:tcW w:w="84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2">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Kiekis</w:t>
            </w:r>
          </w:p>
        </w:tc>
        <w:tc>
          <w:tcPr>
            <w:tcW w:w="82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3">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Mato vnt.</w:t>
            </w:r>
          </w:p>
        </w:tc>
        <w:tc>
          <w:tcPr>
            <w:tcW w:w="12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4">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Vieneto kaina (be PVM)</w:t>
            </w:r>
          </w:p>
        </w:tc>
        <w:tc>
          <w:tcPr>
            <w:tcW w:w="218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5">
            <w:pPr>
              <w:pBdr>
                <w:top w:val="none" w:color="000000" w:sz="0" w:space="0"/>
                <w:left w:val="none" w:color="000000" w:sz="0" w:space="0"/>
                <w:bottom w:val="none" w:color="000000" w:sz="0" w:space="0"/>
                <w:right w:val="none" w:color="000000" w:sz="0" w:space="0"/>
                <w:between w:val="none" w:color="000000" w:sz="0" w:space="0"/>
              </w:pBdr>
              <w:ind w:right="-18"/>
              <w:jc w:val="center"/>
              <w:rPr>
                <w:color w:val="000000"/>
              </w:rPr>
            </w:pPr>
            <w:r>
              <w:rPr>
                <w:color w:val="000000"/>
              </w:rPr>
              <w:t>Visa suma (be PVM)</w:t>
            </w:r>
          </w:p>
        </w:tc>
      </w:tr>
      <w:tr w14:paraId="26BFCF93">
        <w:tblPrEx>
          <w:tblCellMar>
            <w:top w:w="0" w:type="dxa"/>
            <w:left w:w="10" w:type="dxa"/>
            <w:bottom w:w="0" w:type="dxa"/>
            <w:right w:w="10" w:type="dxa"/>
          </w:tblCellMar>
        </w:tblPrEx>
        <w:tc>
          <w:tcPr>
            <w:tcW w:w="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6">
            <w:pPr>
              <w:pBdr>
                <w:top w:val="none" w:color="000000" w:sz="0" w:space="0"/>
                <w:left w:val="none" w:color="000000" w:sz="0" w:space="0"/>
                <w:bottom w:val="none" w:color="000000" w:sz="0" w:space="0"/>
                <w:right w:val="none" w:color="000000" w:sz="0" w:space="0"/>
                <w:between w:val="none" w:color="000000" w:sz="0" w:space="0"/>
              </w:pBdr>
              <w:jc w:val="center"/>
              <w:rPr>
                <w:i/>
                <w:color w:val="000000"/>
              </w:rPr>
            </w:pPr>
            <w:r>
              <w:rPr>
                <w:i/>
                <w:color w:val="000000"/>
              </w:rPr>
              <w:t>1</w:t>
            </w:r>
          </w:p>
        </w:tc>
        <w:tc>
          <w:tcPr>
            <w:tcW w:w="395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7">
            <w:pPr>
              <w:pBdr>
                <w:top w:val="none" w:color="000000" w:sz="0" w:space="0"/>
                <w:left w:val="none" w:color="000000" w:sz="0" w:space="0"/>
                <w:bottom w:val="none" w:color="000000" w:sz="0" w:space="0"/>
                <w:right w:val="none" w:color="000000" w:sz="0" w:space="0"/>
                <w:between w:val="none" w:color="000000" w:sz="0" w:space="0"/>
              </w:pBdr>
              <w:jc w:val="center"/>
              <w:rPr>
                <w:i/>
                <w:color w:val="000000"/>
              </w:rPr>
            </w:pPr>
            <w:r>
              <w:rPr>
                <w:i/>
                <w:color w:val="000000"/>
              </w:rPr>
              <w:t>2</w:t>
            </w:r>
          </w:p>
        </w:tc>
        <w:tc>
          <w:tcPr>
            <w:tcW w:w="84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8">
            <w:pPr>
              <w:pBdr>
                <w:top w:val="none" w:color="000000" w:sz="0" w:space="0"/>
                <w:left w:val="none" w:color="000000" w:sz="0" w:space="0"/>
                <w:bottom w:val="none" w:color="000000" w:sz="0" w:space="0"/>
                <w:right w:val="none" w:color="000000" w:sz="0" w:space="0"/>
                <w:between w:val="none" w:color="000000" w:sz="0" w:space="0"/>
              </w:pBdr>
              <w:jc w:val="center"/>
              <w:rPr>
                <w:i/>
                <w:color w:val="000000"/>
              </w:rPr>
            </w:pPr>
            <w:r>
              <w:rPr>
                <w:i/>
                <w:color w:val="000000"/>
              </w:rPr>
              <w:t>3</w:t>
            </w:r>
          </w:p>
        </w:tc>
        <w:tc>
          <w:tcPr>
            <w:tcW w:w="82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9">
            <w:pPr>
              <w:pBdr>
                <w:top w:val="none" w:color="000000" w:sz="0" w:space="0"/>
                <w:left w:val="none" w:color="000000" w:sz="0" w:space="0"/>
                <w:bottom w:val="none" w:color="000000" w:sz="0" w:space="0"/>
                <w:right w:val="none" w:color="000000" w:sz="0" w:space="0"/>
                <w:between w:val="none" w:color="000000" w:sz="0" w:space="0"/>
              </w:pBdr>
              <w:jc w:val="center"/>
              <w:rPr>
                <w:i/>
                <w:color w:val="000000"/>
              </w:rPr>
            </w:pPr>
            <w:r>
              <w:rPr>
                <w:i/>
                <w:color w:val="000000"/>
              </w:rPr>
              <w:t>4</w:t>
            </w:r>
          </w:p>
        </w:tc>
        <w:tc>
          <w:tcPr>
            <w:tcW w:w="12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A">
            <w:pPr>
              <w:pBdr>
                <w:top w:val="none" w:color="000000" w:sz="0" w:space="0"/>
                <w:left w:val="none" w:color="000000" w:sz="0" w:space="0"/>
                <w:bottom w:val="none" w:color="000000" w:sz="0" w:space="0"/>
                <w:right w:val="none" w:color="000000" w:sz="0" w:space="0"/>
                <w:between w:val="none" w:color="000000" w:sz="0" w:space="0"/>
              </w:pBdr>
              <w:jc w:val="center"/>
              <w:rPr>
                <w:i/>
                <w:color w:val="000000"/>
              </w:rPr>
            </w:pPr>
            <w:r>
              <w:rPr>
                <w:i/>
                <w:color w:val="000000"/>
              </w:rPr>
              <w:t>5</w:t>
            </w:r>
          </w:p>
        </w:tc>
        <w:tc>
          <w:tcPr>
            <w:tcW w:w="218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B">
            <w:pPr>
              <w:pBdr>
                <w:top w:val="none" w:color="000000" w:sz="0" w:space="0"/>
                <w:left w:val="none" w:color="000000" w:sz="0" w:space="0"/>
                <w:bottom w:val="none" w:color="000000" w:sz="0" w:space="0"/>
                <w:right w:val="none" w:color="000000" w:sz="0" w:space="0"/>
                <w:between w:val="none" w:color="000000" w:sz="0" w:space="0"/>
              </w:pBdr>
              <w:jc w:val="center"/>
              <w:rPr>
                <w:i/>
                <w:color w:val="000000"/>
              </w:rPr>
            </w:pPr>
            <w:r>
              <w:rPr>
                <w:i/>
                <w:color w:val="000000"/>
              </w:rPr>
              <w:t>6</w:t>
            </w:r>
          </w:p>
        </w:tc>
      </w:tr>
      <w:tr w14:paraId="278AEFFA">
        <w:tblPrEx>
          <w:tblCellMar>
            <w:top w:w="0" w:type="dxa"/>
            <w:left w:w="10" w:type="dxa"/>
            <w:bottom w:w="0" w:type="dxa"/>
            <w:right w:w="10" w:type="dxa"/>
          </w:tblCellMar>
        </w:tblPrEx>
        <w:tc>
          <w:tcPr>
            <w:tcW w:w="75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C">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1.</w:t>
            </w:r>
          </w:p>
        </w:tc>
        <w:tc>
          <w:tcPr>
            <w:tcW w:w="395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Naudori dyzelinu varomi autobusai pagal specifikaciją</w:t>
            </w:r>
          </w:p>
          <w:p w14:paraId="0000043E">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c>
          <w:tcPr>
            <w:tcW w:w="84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3F">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3</w:t>
            </w:r>
          </w:p>
        </w:tc>
        <w:tc>
          <w:tcPr>
            <w:tcW w:w="82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40">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Vnt.</w:t>
            </w:r>
          </w:p>
        </w:tc>
        <w:tc>
          <w:tcPr>
            <w:tcW w:w="121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41">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c>
          <w:tcPr>
            <w:tcW w:w="218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42">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18251ECB">
        <w:tblPrEx>
          <w:tblCellMar>
            <w:top w:w="0" w:type="dxa"/>
            <w:left w:w="10" w:type="dxa"/>
            <w:bottom w:w="0" w:type="dxa"/>
            <w:right w:w="10" w:type="dxa"/>
          </w:tblCellMar>
        </w:tblPrEx>
        <w:tc>
          <w:tcPr>
            <w:tcW w:w="7595" w:type="dxa"/>
            <w:gridSpan w:val="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43">
            <w:pPr>
              <w:pBdr>
                <w:top w:val="none" w:color="000000" w:sz="0" w:space="0"/>
                <w:left w:val="none" w:color="000000" w:sz="0" w:space="0"/>
                <w:bottom w:val="none" w:color="000000" w:sz="0" w:space="0"/>
                <w:right w:val="none" w:color="000000" w:sz="0" w:space="0"/>
                <w:between w:val="none" w:color="000000" w:sz="0" w:space="0"/>
              </w:pBdr>
              <w:jc w:val="right"/>
              <w:rPr>
                <w:color w:val="000000"/>
              </w:rPr>
            </w:pPr>
            <w:r>
              <w:rPr>
                <w:color w:val="000000"/>
              </w:rPr>
              <w:t>Bendra pasiūlymo kaina  (be PVM)</w:t>
            </w:r>
          </w:p>
        </w:tc>
        <w:tc>
          <w:tcPr>
            <w:tcW w:w="218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48">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631B0479">
        <w:tblPrEx>
          <w:tblCellMar>
            <w:top w:w="0" w:type="dxa"/>
            <w:left w:w="10" w:type="dxa"/>
            <w:bottom w:w="0" w:type="dxa"/>
            <w:right w:w="10" w:type="dxa"/>
          </w:tblCellMar>
        </w:tblPrEx>
        <w:tc>
          <w:tcPr>
            <w:tcW w:w="7595" w:type="dxa"/>
            <w:gridSpan w:val="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49">
            <w:pPr>
              <w:pBdr>
                <w:top w:val="none" w:color="000000" w:sz="0" w:space="0"/>
                <w:left w:val="none" w:color="000000" w:sz="0" w:space="0"/>
                <w:bottom w:val="none" w:color="000000" w:sz="0" w:space="0"/>
                <w:right w:val="none" w:color="000000" w:sz="0" w:space="0"/>
                <w:between w:val="none" w:color="000000" w:sz="0" w:space="0"/>
              </w:pBdr>
              <w:jc w:val="right"/>
              <w:rPr>
                <w:color w:val="000000"/>
              </w:rPr>
            </w:pPr>
            <w:r>
              <w:rPr>
                <w:color w:val="000000"/>
              </w:rPr>
              <w:t>PVM (</w:t>
            </w:r>
            <w:r>
              <w:rPr>
                <w:i/>
                <w:color w:val="000000"/>
              </w:rPr>
              <w:t>tarifas</w:t>
            </w:r>
            <w:r>
              <w:rPr>
                <w:color w:val="000000"/>
              </w:rPr>
              <w:t>) suma:</w:t>
            </w:r>
          </w:p>
        </w:tc>
        <w:tc>
          <w:tcPr>
            <w:tcW w:w="218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4E">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1E876EAD">
        <w:tblPrEx>
          <w:tblCellMar>
            <w:top w:w="0" w:type="dxa"/>
            <w:left w:w="10" w:type="dxa"/>
            <w:bottom w:w="0" w:type="dxa"/>
            <w:right w:w="10" w:type="dxa"/>
          </w:tblCellMar>
        </w:tblPrEx>
        <w:tc>
          <w:tcPr>
            <w:tcW w:w="7595" w:type="dxa"/>
            <w:gridSpan w:val="5"/>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4F">
            <w:pPr>
              <w:pBdr>
                <w:top w:val="none" w:color="000000" w:sz="0" w:space="0"/>
                <w:left w:val="none" w:color="000000" w:sz="0" w:space="0"/>
                <w:bottom w:val="none" w:color="000000" w:sz="0" w:space="0"/>
                <w:right w:val="none" w:color="000000" w:sz="0" w:space="0"/>
                <w:between w:val="none" w:color="000000" w:sz="0" w:space="0"/>
              </w:pBdr>
              <w:jc w:val="right"/>
              <w:rPr>
                <w:color w:val="000000"/>
                <w:lang w:val="fi-FI"/>
              </w:rPr>
            </w:pPr>
            <w:r>
              <w:rPr>
                <w:color w:val="000000"/>
                <w:lang w:val="fi-FI"/>
              </w:rPr>
              <w:t>Bendra pasiūlymo kaina (su PVM)</w:t>
            </w:r>
          </w:p>
        </w:tc>
        <w:tc>
          <w:tcPr>
            <w:tcW w:w="218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54">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p>
        </w:tc>
      </w:tr>
    </w:tbl>
    <w:p w14:paraId="00000455">
      <w:pPr>
        <w:pBdr>
          <w:top w:val="none" w:color="000000" w:sz="0" w:space="0"/>
          <w:left w:val="none" w:color="000000" w:sz="0" w:space="0"/>
          <w:bottom w:val="none" w:color="000000" w:sz="0" w:space="0"/>
          <w:right w:val="none" w:color="000000" w:sz="0" w:space="0"/>
          <w:between w:val="none" w:color="000000" w:sz="0" w:space="0"/>
        </w:pBdr>
        <w:rPr>
          <w:color w:val="000000"/>
          <w:lang w:val="fi-FI"/>
        </w:rPr>
      </w:pPr>
    </w:p>
    <w:tbl>
      <w:tblPr>
        <w:tblStyle w:val="142"/>
        <w:tblW w:w="9918" w:type="dxa"/>
        <w:tblInd w:w="0" w:type="dxa"/>
        <w:tblLayout w:type="fixed"/>
        <w:tblCellMar>
          <w:top w:w="0" w:type="dxa"/>
          <w:left w:w="10" w:type="dxa"/>
          <w:bottom w:w="0" w:type="dxa"/>
          <w:right w:w="10" w:type="dxa"/>
        </w:tblCellMar>
      </w:tblPr>
      <w:tblGrid>
        <w:gridCol w:w="4788"/>
        <w:gridCol w:w="5130"/>
      </w:tblGrid>
      <w:tr w14:paraId="4CAD98B8">
        <w:trPr>
          <w:trHeight w:val="339" w:hRule="atLeast"/>
        </w:trPr>
        <w:tc>
          <w:tcPr>
            <w:tcW w:w="47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56">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Bendra pasiūlymo kaina be PVM –</w:t>
            </w:r>
          </w:p>
        </w:tc>
        <w:tc>
          <w:tcPr>
            <w:tcW w:w="513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57">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Kaina žodžiais:                                                   </w:t>
            </w:r>
          </w:p>
        </w:tc>
      </w:tr>
      <w:tr w14:paraId="3AC8BBB0">
        <w:tblPrEx>
          <w:tblCellMar>
            <w:top w:w="0" w:type="dxa"/>
            <w:left w:w="10" w:type="dxa"/>
            <w:bottom w:w="0" w:type="dxa"/>
            <w:right w:w="10" w:type="dxa"/>
          </w:tblCellMar>
        </w:tblPrEx>
        <w:trPr>
          <w:trHeight w:val="339" w:hRule="atLeast"/>
        </w:trPr>
        <w:tc>
          <w:tcPr>
            <w:tcW w:w="47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58">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Bendra pasiūlymo kaina su PVM –</w:t>
            </w:r>
          </w:p>
        </w:tc>
        <w:tc>
          <w:tcPr>
            <w:tcW w:w="513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5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lang w:val="fi-FI"/>
              </w:rPr>
              <w:t xml:space="preserve"> </w:t>
            </w:r>
            <w:r>
              <w:rPr>
                <w:color w:val="000000"/>
              </w:rPr>
              <w:t xml:space="preserve">Kaina žodžiais:                                                   </w:t>
            </w:r>
          </w:p>
        </w:tc>
      </w:tr>
    </w:tbl>
    <w:p w14:paraId="0000045A">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45B">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Į pasiūlymo kainą įskaityti visi tiekėjo mokami mokesčiai ir visos tiekėjo patiriamos su pirkimo sutarties vykdymu susijusios išlaidos. Prie pasiūlymo pridedamas užpildytas 2 priedas. </w:t>
      </w:r>
    </w:p>
    <w:p w14:paraId="0000045C">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p w14:paraId="0000045D">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 xml:space="preserve">Pastabos: </w:t>
      </w:r>
    </w:p>
    <w:p w14:paraId="0000045E">
      <w:pPr>
        <w:widowControl w:val="0"/>
        <w:pBdr>
          <w:top w:val="none" w:color="000000" w:sz="0" w:space="0"/>
          <w:left w:val="none" w:color="000000" w:sz="0" w:space="0"/>
          <w:bottom w:val="none" w:color="000000" w:sz="0" w:space="0"/>
          <w:right w:val="none" w:color="000000" w:sz="0" w:space="0"/>
          <w:between w:val="none" w:color="000000" w:sz="0" w:space="0"/>
        </w:pBdr>
        <w:tabs>
          <w:tab w:val="left" w:pos="284"/>
        </w:tabs>
        <w:jc w:val="both"/>
        <w:rPr>
          <w:color w:val="000000"/>
        </w:rPr>
      </w:pPr>
      <w:r>
        <w:rPr>
          <w:color w:val="000000"/>
        </w:rPr>
        <w:t xml:space="preserve">Jei tiekėjas yra ne PVM mokėtojas, jis turi apie tai nurodyti pasiūlyme, nurodant teisinį pagrindą. Tiekėjas turi įvertinti ar sutarties vykdymo metu netaps PVM mokėtoju. Jei tiekėjas vykdydamas sutartį taps PVM mokėtoju, pasiūlyme turi nurodyti kainą su PVM. </w:t>
      </w:r>
    </w:p>
    <w:p w14:paraId="0000045F">
      <w:pPr>
        <w:widowControl w:val="0"/>
        <w:pBdr>
          <w:top w:val="none" w:color="000000" w:sz="0" w:space="0"/>
          <w:left w:val="none" w:color="000000" w:sz="0" w:space="0"/>
          <w:bottom w:val="none" w:color="000000" w:sz="0" w:space="0"/>
          <w:right w:val="none" w:color="000000" w:sz="0" w:space="0"/>
          <w:between w:val="none" w:color="000000" w:sz="0" w:space="0"/>
        </w:pBdr>
        <w:tabs>
          <w:tab w:val="left" w:pos="284"/>
        </w:tabs>
        <w:jc w:val="both"/>
        <w:rPr>
          <w:color w:val="000000"/>
        </w:rPr>
      </w:pPr>
      <w:r>
        <w:rPr>
          <w:color w:val="000000"/>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00000460">
      <w:pPr>
        <w:widowControl w:val="0"/>
        <w:pBdr>
          <w:top w:val="none" w:color="000000" w:sz="0" w:space="0"/>
          <w:left w:val="none" w:color="000000" w:sz="0" w:space="0"/>
          <w:bottom w:val="none" w:color="000000" w:sz="0" w:space="0"/>
          <w:right w:val="none" w:color="000000" w:sz="0" w:space="0"/>
          <w:between w:val="none" w:color="000000" w:sz="0" w:space="0"/>
        </w:pBdr>
        <w:tabs>
          <w:tab w:val="left" w:pos="284"/>
        </w:tabs>
        <w:jc w:val="both"/>
        <w:rPr>
          <w:b/>
        </w:rPr>
      </w:pPr>
    </w:p>
    <w:p w14:paraId="00000461">
      <w:pPr>
        <w:widowControl w:val="0"/>
        <w:pBdr>
          <w:top w:val="none" w:color="000000" w:sz="0" w:space="0"/>
          <w:left w:val="none" w:color="000000" w:sz="0" w:space="0"/>
          <w:bottom w:val="none" w:color="000000" w:sz="0" w:space="0"/>
          <w:right w:val="none" w:color="000000" w:sz="0" w:space="0"/>
          <w:between w:val="none" w:color="000000" w:sz="0" w:space="0"/>
        </w:pBdr>
        <w:tabs>
          <w:tab w:val="left" w:pos="284"/>
        </w:tabs>
        <w:jc w:val="both"/>
        <w:rPr>
          <w:b/>
          <w:color w:val="000000"/>
        </w:rPr>
      </w:pPr>
      <w:r>
        <w:rPr>
          <w:b/>
          <w:color w:val="000000"/>
        </w:rPr>
        <w:t>Siūlomas (Y) parametras</w:t>
      </w:r>
    </w:p>
    <w:p w14:paraId="00000462">
      <w:pPr>
        <w:widowControl w:val="0"/>
        <w:pBdr>
          <w:top w:val="none" w:color="000000" w:sz="0" w:space="0"/>
          <w:left w:val="none" w:color="000000" w:sz="0" w:space="0"/>
          <w:bottom w:val="none" w:color="000000" w:sz="0" w:space="0"/>
          <w:right w:val="none" w:color="000000" w:sz="0" w:space="0"/>
          <w:between w:val="none" w:color="000000" w:sz="0" w:space="0"/>
        </w:pBdr>
        <w:tabs>
          <w:tab w:val="left" w:pos="284"/>
        </w:tabs>
        <w:jc w:val="both"/>
        <w:rPr>
          <w:b/>
          <w:color w:val="000000"/>
        </w:rPr>
      </w:pPr>
      <w:r>
        <w:rPr>
          <w:b/>
          <w:color w:val="000000"/>
        </w:rPr>
        <w:t>Papildomas  garantijos terminas</w:t>
      </w:r>
    </w:p>
    <w:p w14:paraId="00000463">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
          <w:color w:val="000000"/>
        </w:rPr>
      </w:pPr>
    </w:p>
    <w:tbl>
      <w:tblPr>
        <w:tblStyle w:val="143"/>
        <w:tblW w:w="9634" w:type="dxa"/>
        <w:tblInd w:w="-103" w:type="dxa"/>
        <w:tblLayout w:type="fixed"/>
        <w:tblCellMar>
          <w:top w:w="0" w:type="dxa"/>
          <w:left w:w="10" w:type="dxa"/>
          <w:bottom w:w="0" w:type="dxa"/>
          <w:right w:w="10" w:type="dxa"/>
        </w:tblCellMar>
      </w:tblPr>
      <w:tblGrid>
        <w:gridCol w:w="2830"/>
        <w:gridCol w:w="3402"/>
        <w:gridCol w:w="3402"/>
      </w:tblGrid>
      <w:tr w14:paraId="41D5178B">
        <w:tblPrEx>
          <w:tblCellMar>
            <w:top w:w="0" w:type="dxa"/>
            <w:left w:w="10" w:type="dxa"/>
            <w:bottom w:w="0" w:type="dxa"/>
            <w:right w:w="10" w:type="dxa"/>
          </w:tblCellMar>
        </w:tblPrEx>
        <w:tc>
          <w:tcPr>
            <w:tcW w:w="2830" w:type="dxa"/>
            <w:tcBorders>
              <w:top w:val="single" w:color="000000" w:sz="4" w:space="0"/>
              <w:left w:val="single" w:color="000000" w:sz="4" w:space="0"/>
              <w:bottom w:val="single" w:color="auto" w:sz="4" w:space="0"/>
              <w:right w:val="single" w:color="000000" w:sz="4" w:space="0"/>
            </w:tcBorders>
            <w:tcMar>
              <w:top w:w="0" w:type="dxa"/>
              <w:left w:w="0" w:type="dxa"/>
              <w:bottom w:w="0" w:type="dxa"/>
              <w:right w:w="0" w:type="dxa"/>
            </w:tcMar>
          </w:tcPr>
          <w:p w14:paraId="00000464">
            <w:pPr>
              <w:pBdr>
                <w:top w:val="none" w:color="000000" w:sz="0" w:space="0"/>
                <w:left w:val="none" w:color="000000" w:sz="0" w:space="0"/>
                <w:bottom w:val="none" w:color="000000" w:sz="0" w:space="0"/>
                <w:right w:val="none" w:color="000000" w:sz="0" w:space="0"/>
                <w:between w:val="none" w:color="000000" w:sz="0" w:space="0"/>
              </w:pBdr>
              <w:jc w:val="both"/>
              <w:rPr>
                <w:color w:val="000000"/>
                <w:sz w:val="22"/>
                <w:szCs w:val="22"/>
              </w:rPr>
            </w:pPr>
            <w:r>
              <w:rPr>
                <w:color w:val="000000"/>
                <w:sz w:val="22"/>
                <w:szCs w:val="22"/>
              </w:rPr>
              <w:t>Kriterijaus parametras</w:t>
            </w:r>
          </w:p>
        </w:tc>
        <w:tc>
          <w:tcPr>
            <w:tcW w:w="3402" w:type="dxa"/>
            <w:tcBorders>
              <w:top w:val="single" w:color="000000" w:sz="4" w:space="0"/>
              <w:left w:val="single" w:color="000000" w:sz="4" w:space="0"/>
              <w:bottom w:val="single" w:color="auto" w:sz="4" w:space="0"/>
              <w:right w:val="single" w:color="000000" w:sz="4" w:space="0"/>
            </w:tcBorders>
            <w:tcMar>
              <w:top w:w="0" w:type="dxa"/>
              <w:left w:w="0" w:type="dxa"/>
              <w:bottom w:w="0" w:type="dxa"/>
              <w:right w:w="0" w:type="dxa"/>
            </w:tcMar>
          </w:tcPr>
          <w:p w14:paraId="37593AF0">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 xml:space="preserve">Tiekėjo siūlomas </w:t>
            </w:r>
          </w:p>
          <w:p w14:paraId="00000465">
            <w:pPr>
              <w:pBdr>
                <w:top w:val="none" w:color="000000" w:sz="0" w:space="0"/>
                <w:left w:val="none" w:color="000000" w:sz="0" w:space="0"/>
                <w:bottom w:val="none" w:color="000000" w:sz="0" w:space="0"/>
                <w:right w:val="none" w:color="000000" w:sz="0" w:space="0"/>
                <w:between w:val="none" w:color="000000" w:sz="0" w:space="0"/>
              </w:pBdr>
              <w:jc w:val="both"/>
              <w:rPr>
                <w:color w:val="000000"/>
                <w:sz w:val="22"/>
                <w:szCs w:val="22"/>
              </w:rPr>
            </w:pPr>
            <w:r>
              <w:rPr>
                <w:color w:val="000000"/>
                <w:sz w:val="22"/>
                <w:szCs w:val="22"/>
              </w:rPr>
              <w:t>papildomąs garantinis terminas mėnesiais, neįskaitant privalomo garantinio termino (virš privalomo).</w:t>
            </w:r>
          </w:p>
        </w:tc>
        <w:tc>
          <w:tcPr>
            <w:tcW w:w="3402" w:type="dxa"/>
            <w:tcBorders>
              <w:top w:val="single" w:color="000000" w:sz="4" w:space="0"/>
              <w:left w:val="single" w:color="000000" w:sz="4" w:space="0"/>
              <w:bottom w:val="single" w:color="auto" w:sz="4" w:space="0"/>
              <w:right w:val="single" w:color="000000" w:sz="4" w:space="0"/>
            </w:tcBorders>
            <w:tcMar>
              <w:top w:w="0" w:type="dxa"/>
              <w:left w:w="0" w:type="dxa"/>
              <w:bottom w:w="0" w:type="dxa"/>
              <w:right w:w="0" w:type="dxa"/>
            </w:tcMar>
          </w:tcPr>
          <w:p w14:paraId="00000466">
            <w:pPr>
              <w:pBdr>
                <w:top w:val="none" w:color="000000" w:sz="0" w:space="0"/>
                <w:left w:val="none" w:color="000000" w:sz="0" w:space="0"/>
                <w:bottom w:val="none" w:color="000000" w:sz="0" w:space="0"/>
                <w:right w:val="none" w:color="000000" w:sz="0" w:space="0"/>
                <w:between w:val="none" w:color="000000" w:sz="0" w:space="0"/>
              </w:pBdr>
              <w:jc w:val="both"/>
              <w:rPr>
                <w:color w:val="000000"/>
                <w:sz w:val="22"/>
                <w:szCs w:val="22"/>
              </w:rPr>
            </w:pPr>
            <w:r>
              <w:rPr>
                <w:color w:val="000000"/>
                <w:sz w:val="22"/>
                <w:szCs w:val="22"/>
              </w:rPr>
              <w:t>Siūlomas (įrašomas papildomas garantinis terminas mėn</w:t>
            </w:r>
            <w:r>
              <w:rPr>
                <w:sz w:val="22"/>
                <w:szCs w:val="22"/>
              </w:rPr>
              <w:t>e</w:t>
            </w:r>
            <w:r>
              <w:rPr>
                <w:color w:val="000000"/>
                <w:sz w:val="22"/>
                <w:szCs w:val="22"/>
              </w:rPr>
              <w:t>siais)</w:t>
            </w:r>
          </w:p>
        </w:tc>
      </w:tr>
      <w:tr w14:paraId="26F509B6">
        <w:tblPrEx>
          <w:tblCellMar>
            <w:top w:w="0" w:type="dxa"/>
            <w:left w:w="10" w:type="dxa"/>
            <w:bottom w:w="0" w:type="dxa"/>
            <w:right w:w="10" w:type="dxa"/>
          </w:tblCellMar>
        </w:tblPrEx>
        <w:tc>
          <w:tcPr>
            <w:tcW w:w="2830" w:type="dxa"/>
            <w:vMerge w:val="restar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3FF7775B">
            <w:pPr>
              <w:pBdr>
                <w:top w:val="none" w:color="000000" w:sz="0" w:space="0"/>
                <w:left w:val="none" w:color="000000" w:sz="0" w:space="0"/>
                <w:bottom w:val="none" w:color="000000" w:sz="0" w:space="0"/>
                <w:right w:val="none" w:color="000000" w:sz="0" w:space="0"/>
                <w:between w:val="none" w:color="000000" w:sz="0" w:space="0"/>
              </w:pBdr>
              <w:jc w:val="both"/>
              <w:rPr>
                <w:color w:val="000000"/>
                <w:sz w:val="22"/>
                <w:szCs w:val="22"/>
                <w:lang w:val="sv-SE"/>
              </w:rPr>
            </w:pPr>
            <w:r>
              <w:rPr>
                <w:color w:val="000000"/>
                <w:sz w:val="22"/>
                <w:szCs w:val="22"/>
                <w:lang w:val="sv-SE"/>
              </w:rPr>
              <w:t xml:space="preserve">Papildomas nuo </w:t>
            </w:r>
          </w:p>
          <w:p w14:paraId="00000467">
            <w:pPr>
              <w:pBdr>
                <w:top w:val="none" w:color="000000" w:sz="0" w:space="0"/>
                <w:left w:val="none" w:color="000000" w:sz="0" w:space="0"/>
                <w:bottom w:val="none" w:color="000000" w:sz="0" w:space="0"/>
                <w:right w:val="none" w:color="000000" w:sz="0" w:space="0"/>
                <w:between w:val="none" w:color="000000" w:sz="0" w:space="0"/>
              </w:pBdr>
              <w:jc w:val="both"/>
              <w:rPr>
                <w:color w:val="000000"/>
                <w:sz w:val="22"/>
                <w:szCs w:val="22"/>
                <w:lang w:val="sv-SE"/>
              </w:rPr>
            </w:pPr>
            <w:r>
              <w:rPr>
                <w:color w:val="000000"/>
                <w:sz w:val="22"/>
                <w:szCs w:val="22"/>
                <w:lang w:val="sv-SE"/>
              </w:rPr>
              <w:t xml:space="preserve">specifikacijos punkte nurodyto privalomo garantijos termino </w:t>
            </w:r>
          </w:p>
          <w:p w14:paraId="00000468">
            <w:pPr>
              <w:pBdr>
                <w:top w:val="none" w:color="000000" w:sz="0" w:space="0"/>
                <w:left w:val="none" w:color="000000" w:sz="0" w:space="0"/>
                <w:bottom w:val="none" w:color="000000" w:sz="0" w:space="0"/>
                <w:right w:val="none" w:color="000000" w:sz="0" w:space="0"/>
                <w:between w:val="none" w:color="000000" w:sz="0" w:space="0"/>
              </w:pBdr>
              <w:jc w:val="both"/>
              <w:rPr>
                <w:color w:val="000000"/>
                <w:sz w:val="22"/>
                <w:szCs w:val="22"/>
                <w:lang w:val="sv-SE"/>
              </w:rPr>
            </w:pPr>
          </w:p>
        </w:tc>
        <w:tc>
          <w:tcPr>
            <w:tcW w:w="3402"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0000469">
            <w:pPr>
              <w:pBdr>
                <w:top w:val="none" w:color="000000" w:sz="0" w:space="0"/>
                <w:left w:val="none" w:color="000000" w:sz="0" w:space="0"/>
                <w:bottom w:val="none" w:color="000000" w:sz="0" w:space="0"/>
                <w:right w:val="none" w:color="000000" w:sz="0" w:space="0"/>
                <w:between w:val="none" w:color="000000" w:sz="0" w:space="0"/>
              </w:pBdr>
              <w:jc w:val="center"/>
              <w:rPr>
                <w:color w:val="000000"/>
                <w:sz w:val="22"/>
                <w:szCs w:val="22"/>
              </w:rPr>
            </w:pPr>
            <w:r>
              <w:rPr>
                <w:color w:val="000000"/>
                <w:sz w:val="22"/>
                <w:szCs w:val="22"/>
              </w:rPr>
              <w:t>0 mėnesių</w:t>
            </w:r>
          </w:p>
          <w:p w14:paraId="0000046A">
            <w:pPr>
              <w:pBdr>
                <w:top w:val="none" w:color="000000" w:sz="0" w:space="0"/>
                <w:left w:val="none" w:color="000000" w:sz="0" w:space="0"/>
                <w:bottom w:val="none" w:color="000000" w:sz="0" w:space="0"/>
                <w:right w:val="none" w:color="000000" w:sz="0" w:space="0"/>
                <w:between w:val="none" w:color="000000" w:sz="0" w:space="0"/>
              </w:pBdr>
              <w:ind w:firstLine="720"/>
              <w:jc w:val="center"/>
              <w:rPr>
                <w:color w:val="000000"/>
                <w:sz w:val="22"/>
                <w:szCs w:val="22"/>
              </w:rPr>
            </w:pPr>
          </w:p>
        </w:tc>
        <w:tc>
          <w:tcPr>
            <w:tcW w:w="3402"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000046B">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p>
        </w:tc>
      </w:tr>
      <w:tr w14:paraId="21825945">
        <w:tblPrEx>
          <w:tblCellMar>
            <w:top w:w="0" w:type="dxa"/>
            <w:left w:w="10" w:type="dxa"/>
            <w:bottom w:w="0" w:type="dxa"/>
            <w:right w:w="10" w:type="dxa"/>
          </w:tblCellMar>
        </w:tblPrEx>
        <w:tc>
          <w:tcPr>
            <w:tcW w:w="2830" w:type="dxa"/>
            <w:vMerge w:val="continue"/>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000046C">
            <w:pPr>
              <w:widowControl w:val="0"/>
              <w:spacing w:line="276" w:lineRule="auto"/>
              <w:rPr>
                <w:color w:val="000000"/>
                <w:sz w:val="22"/>
                <w:szCs w:val="22"/>
              </w:rPr>
            </w:pPr>
          </w:p>
        </w:tc>
        <w:tc>
          <w:tcPr>
            <w:tcW w:w="3402"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000046D">
            <w:pPr>
              <w:pBdr>
                <w:top w:val="none" w:color="000000" w:sz="0" w:space="0"/>
                <w:left w:val="none" w:color="000000" w:sz="0" w:space="0"/>
                <w:bottom w:val="none" w:color="000000" w:sz="0" w:space="0"/>
                <w:right w:val="none" w:color="000000" w:sz="0" w:space="0"/>
                <w:between w:val="none" w:color="000000" w:sz="0" w:space="0"/>
              </w:pBdr>
              <w:jc w:val="center"/>
              <w:rPr>
                <w:color w:val="000000"/>
                <w:sz w:val="22"/>
                <w:szCs w:val="22"/>
              </w:rPr>
            </w:pPr>
            <w:r>
              <w:rPr>
                <w:color w:val="000000"/>
                <w:sz w:val="22"/>
                <w:szCs w:val="22"/>
              </w:rPr>
              <w:t>6 mėnesių</w:t>
            </w:r>
          </w:p>
          <w:p w14:paraId="0000046E">
            <w:pPr>
              <w:pBdr>
                <w:top w:val="none" w:color="000000" w:sz="0" w:space="0"/>
                <w:left w:val="none" w:color="000000" w:sz="0" w:space="0"/>
                <w:bottom w:val="none" w:color="000000" w:sz="0" w:space="0"/>
                <w:right w:val="none" w:color="000000" w:sz="0" w:space="0"/>
                <w:between w:val="none" w:color="000000" w:sz="0" w:space="0"/>
              </w:pBdr>
              <w:ind w:firstLine="720"/>
              <w:jc w:val="center"/>
              <w:rPr>
                <w:color w:val="000000"/>
                <w:sz w:val="22"/>
                <w:szCs w:val="22"/>
              </w:rPr>
            </w:pPr>
          </w:p>
        </w:tc>
        <w:tc>
          <w:tcPr>
            <w:tcW w:w="3402"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000046F">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p>
        </w:tc>
      </w:tr>
      <w:tr w14:paraId="20A770DA">
        <w:tblPrEx>
          <w:tblCellMar>
            <w:top w:w="0" w:type="dxa"/>
            <w:left w:w="10" w:type="dxa"/>
            <w:bottom w:w="0" w:type="dxa"/>
            <w:right w:w="10" w:type="dxa"/>
          </w:tblCellMar>
        </w:tblPrEx>
        <w:trPr>
          <w:trHeight w:val="779" w:hRule="atLeast"/>
        </w:trPr>
        <w:tc>
          <w:tcPr>
            <w:tcW w:w="2830" w:type="dxa"/>
            <w:vMerge w:val="continue"/>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0000470">
            <w:pPr>
              <w:widowControl w:val="0"/>
              <w:spacing w:line="276" w:lineRule="auto"/>
              <w:rPr>
                <w:color w:val="000000"/>
                <w:sz w:val="22"/>
                <w:szCs w:val="22"/>
              </w:rPr>
            </w:pPr>
          </w:p>
        </w:tc>
        <w:tc>
          <w:tcPr>
            <w:tcW w:w="3402"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0000471">
            <w:pPr>
              <w:pBdr>
                <w:top w:val="none" w:color="000000" w:sz="0" w:space="0"/>
                <w:left w:val="none" w:color="000000" w:sz="0" w:space="0"/>
                <w:bottom w:val="none" w:color="000000" w:sz="0" w:space="0"/>
                <w:right w:val="none" w:color="000000" w:sz="0" w:space="0"/>
                <w:between w:val="none" w:color="000000" w:sz="0" w:space="0"/>
              </w:pBdr>
              <w:jc w:val="center"/>
              <w:rPr>
                <w:color w:val="000000"/>
                <w:sz w:val="22"/>
                <w:szCs w:val="22"/>
              </w:rPr>
            </w:pPr>
            <w:r>
              <w:rPr>
                <w:color w:val="000000"/>
                <w:sz w:val="22"/>
                <w:szCs w:val="22"/>
              </w:rPr>
              <w:t>12 mėnesių</w:t>
            </w:r>
          </w:p>
          <w:p w14:paraId="00000472">
            <w:pPr>
              <w:pBdr>
                <w:top w:val="none" w:color="000000" w:sz="0" w:space="0"/>
                <w:left w:val="none" w:color="000000" w:sz="0" w:space="0"/>
                <w:bottom w:val="none" w:color="000000" w:sz="0" w:space="0"/>
                <w:right w:val="none" w:color="000000" w:sz="0" w:space="0"/>
                <w:between w:val="none" w:color="000000" w:sz="0" w:space="0"/>
              </w:pBdr>
              <w:ind w:firstLine="720"/>
              <w:jc w:val="center"/>
              <w:rPr>
                <w:color w:val="000000"/>
                <w:sz w:val="22"/>
                <w:szCs w:val="22"/>
              </w:rPr>
            </w:pPr>
          </w:p>
        </w:tc>
        <w:tc>
          <w:tcPr>
            <w:tcW w:w="3402"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tcPr>
          <w:p w14:paraId="00000473">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p>
        </w:tc>
      </w:tr>
    </w:tbl>
    <w:p w14:paraId="00000477">
      <w:pPr>
        <w:widowControl w:val="0"/>
        <w:pBdr>
          <w:top w:val="none" w:color="000000" w:sz="0" w:space="0"/>
          <w:left w:val="none" w:color="000000" w:sz="0" w:space="0"/>
          <w:bottom w:val="none" w:color="000000" w:sz="0" w:space="0"/>
          <w:right w:val="none" w:color="000000" w:sz="0" w:space="0"/>
          <w:between w:val="none" w:color="000000" w:sz="0" w:space="0"/>
        </w:pBdr>
        <w:tabs>
          <w:tab w:val="left" w:pos="284"/>
        </w:tabs>
        <w:jc w:val="both"/>
        <w:rPr>
          <w:b/>
          <w:color w:val="000000"/>
        </w:rPr>
      </w:pPr>
    </w:p>
    <w:p w14:paraId="00000478">
      <w:pPr>
        <w:pBdr>
          <w:top w:val="none" w:color="000000" w:sz="0" w:space="0"/>
          <w:left w:val="none" w:color="000000" w:sz="0" w:space="0"/>
          <w:bottom w:val="none" w:color="000000" w:sz="0" w:space="0"/>
          <w:right w:val="none" w:color="000000" w:sz="0" w:space="0"/>
          <w:between w:val="none" w:color="000000" w:sz="0" w:space="0"/>
        </w:pBdr>
        <w:tabs>
          <w:tab w:val="left" w:pos="720"/>
        </w:tabs>
        <w:jc w:val="both"/>
        <w:rPr>
          <w:color w:val="000000"/>
        </w:rPr>
      </w:pPr>
      <w:r>
        <w:rPr>
          <w:b/>
          <w:color w:val="000000"/>
        </w:rPr>
        <w:t>Teikdami šį pasiūlymą, mes patvirtiname, kad</w:t>
      </w:r>
      <w:r>
        <w:rPr>
          <w:color w:val="000000"/>
        </w:rPr>
        <w:t>:</w:t>
      </w:r>
    </w:p>
    <w:p w14:paraId="00000479">
      <w:pPr>
        <w:pBdr>
          <w:top w:val="none" w:color="000000" w:sz="0" w:space="0"/>
          <w:left w:val="none" w:color="000000" w:sz="0" w:space="0"/>
          <w:bottom w:val="none" w:color="000000" w:sz="0" w:space="0"/>
          <w:right w:val="none" w:color="000000" w:sz="0" w:space="0"/>
          <w:between w:val="none" w:color="000000" w:sz="0" w:space="0"/>
        </w:pBdr>
        <w:tabs>
          <w:tab w:val="left" w:pos="720"/>
        </w:tabs>
        <w:jc w:val="both"/>
        <w:rPr>
          <w:color w:val="000000"/>
        </w:rPr>
      </w:pPr>
      <w:r>
        <w:rPr>
          <w:color w:val="000000"/>
        </w:rPr>
        <w:t>Atidžiai išnagrinėjome perkančiosios organizacijos pateiktą techninę specifikaciją ir kitus pirkimo dokumentus, pirkimo metu perkančiosios organizacijos pateiktus paaiškinimus ir kt. perkančiosios organizacijos pirkimui pateiktus dokumentus;</w:t>
      </w:r>
    </w:p>
    <w:p w14:paraId="0000047A">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Į mūsų siūlomą kainą įskaičiuotos visos prekių tiekimo išlaidos ir visi mokesčiai, ir mes prisiimame riziką už visas išlaidas, kurias, teikdami pasiūlymą ir laikydamiesi pirkimo dokumentuose nustatytų reikalavimų, privalėjome įskaičiuoti į pasiūlymo kainą;</w:t>
      </w:r>
    </w:p>
    <w:p w14:paraId="0000047B">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Pateikdami pasiūlymą, mes įsivertinome visų prekių, jų komplektacijos apimtis bei prisiimame riziką dėl kiekių ir išlaidų dydžio svyravimo. </w:t>
      </w:r>
    </w:p>
    <w:p w14:paraId="0000047C">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Visa pasiūlyme pateikta informacija yra teisinga, atitinka tikrovę ir apima viską, ko reikia visiškam ir tinkamam sutarties įvykdymui;</w:t>
      </w:r>
    </w:p>
    <w:p w14:paraId="0000047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Įvertinome pirkimo dokumentų, prekių tiekimui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0000047E">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b/>
          <w:color w:val="000000"/>
        </w:rPr>
        <w:t>Žinome, kad perkančioji organizacija laimėjusio dalyvio pasiūlymą, sudarytą pirkimo sutartį ir pirkimo sutarties sąlygų pakeitimus, išskyrus informaciją,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0000047F">
      <w:pPr>
        <w:pBdr>
          <w:top w:val="none" w:color="000000" w:sz="0" w:space="0"/>
          <w:left w:val="none" w:color="000000" w:sz="0" w:space="0"/>
          <w:bottom w:val="none" w:color="000000" w:sz="0" w:space="0"/>
          <w:right w:val="none" w:color="000000" w:sz="0" w:space="0"/>
          <w:between w:val="none" w:color="000000" w:sz="0" w:space="0"/>
        </w:pBdr>
        <w:jc w:val="both"/>
        <w:rPr>
          <w:b/>
          <w:color w:val="000000"/>
        </w:rPr>
      </w:pPr>
    </w:p>
    <w:p w14:paraId="00000480">
      <w:pPr>
        <w:pBdr>
          <w:top w:val="none" w:color="000000" w:sz="0" w:space="0"/>
          <w:left w:val="none" w:color="000000" w:sz="0" w:space="0"/>
          <w:bottom w:val="none" w:color="000000" w:sz="0" w:space="0"/>
          <w:right w:val="none" w:color="000000" w:sz="0" w:space="0"/>
          <w:between w:val="none" w:color="000000" w:sz="0" w:space="0"/>
        </w:pBdr>
        <w:tabs>
          <w:tab w:val="left" w:pos="720"/>
        </w:tabs>
        <w:jc w:val="both"/>
        <w:rPr>
          <w:color w:val="000000"/>
          <w:lang w:val="fi-FI"/>
        </w:rPr>
      </w:pPr>
      <w:r>
        <w:rPr>
          <w:color w:val="000000"/>
          <w:lang w:val="fi-FI"/>
        </w:rPr>
        <w:t>Kartu su pasiūlymu pateikiami šie dokumentai:</w:t>
      </w:r>
    </w:p>
    <w:tbl>
      <w:tblPr>
        <w:tblStyle w:val="144"/>
        <w:tblW w:w="10206" w:type="dxa"/>
        <w:tblInd w:w="108" w:type="dxa"/>
        <w:tblLayout w:type="fixed"/>
        <w:tblCellMar>
          <w:top w:w="0" w:type="dxa"/>
          <w:left w:w="10" w:type="dxa"/>
          <w:bottom w:w="0" w:type="dxa"/>
          <w:right w:w="10" w:type="dxa"/>
        </w:tblCellMar>
      </w:tblPr>
      <w:tblGrid>
        <w:gridCol w:w="567"/>
        <w:gridCol w:w="6521"/>
        <w:gridCol w:w="3118"/>
      </w:tblGrid>
      <w:tr w14:paraId="0C06BCC2">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tcPr>
          <w:p w14:paraId="00000481">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Eil.Nr.</w:t>
            </w:r>
          </w:p>
        </w:tc>
        <w:tc>
          <w:tcPr>
            <w:tcW w:w="6521"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tcPr>
          <w:p w14:paraId="00000482">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Pateiktų dokumentų (failų) pavadinimas</w:t>
            </w:r>
          </w:p>
        </w:tc>
        <w:tc>
          <w:tcPr>
            <w:tcW w:w="3118"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tcPr>
          <w:p w14:paraId="00000483">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Dokumento puslapių skaičius</w:t>
            </w:r>
          </w:p>
        </w:tc>
      </w:tr>
      <w:tr w14:paraId="79841027">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4">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w:t>
            </w:r>
          </w:p>
        </w:tc>
        <w:tc>
          <w:tcPr>
            <w:tcW w:w="65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5">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[Tiekėjas įrašo dokumento pavadinimą, pvz., EBVPD]</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6">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w:t>
            </w:r>
          </w:p>
        </w:tc>
      </w:tr>
      <w:tr w14:paraId="5A6C926A">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7">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2.</w:t>
            </w:r>
          </w:p>
        </w:tc>
        <w:tc>
          <w:tcPr>
            <w:tcW w:w="65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8">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 xml:space="preserve">Pvz., pasiūlyme nurodytų subtiekėjų/subteikėjų/subrangovų ketinimų protokolai (susitarimai) ar kiti dokumentai </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9">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1239DC3B">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A">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3.</w:t>
            </w:r>
          </w:p>
        </w:tc>
        <w:tc>
          <w:tcPr>
            <w:tcW w:w="65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B">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Techninė gamintojo dokumentacija</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C">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50C2703D">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D">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4.</w:t>
            </w:r>
          </w:p>
        </w:tc>
        <w:tc>
          <w:tcPr>
            <w:tcW w:w="65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E">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Įgaliojimas, jei toks privalomas</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8F">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4E58C5D3">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0">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 xml:space="preserve">5. </w:t>
            </w:r>
          </w:p>
        </w:tc>
        <w:tc>
          <w:tcPr>
            <w:tcW w:w="65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1">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Pasiūlymo užtikrinimo įrodymai</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2">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3EAA1E8C">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3">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 xml:space="preserve">6. </w:t>
            </w:r>
          </w:p>
        </w:tc>
        <w:tc>
          <w:tcPr>
            <w:tcW w:w="65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4">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Atitikimą techninei specifikacijai įrodymus</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5">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1F62B41B">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6">
            <w:pPr>
              <w:pBdr>
                <w:top w:val="none" w:color="000000" w:sz="0" w:space="0"/>
                <w:left w:val="none" w:color="000000" w:sz="0" w:space="0"/>
                <w:bottom w:val="none" w:color="000000" w:sz="0" w:space="0"/>
                <w:right w:val="none" w:color="000000" w:sz="0" w:space="0"/>
                <w:between w:val="none" w:color="000000" w:sz="0" w:space="0"/>
              </w:pBdr>
              <w:rPr>
                <w:color w:val="000000"/>
              </w:rPr>
            </w:pPr>
          </w:p>
        </w:tc>
        <w:tc>
          <w:tcPr>
            <w:tcW w:w="65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7">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8">
            <w:pPr>
              <w:pBdr>
                <w:top w:val="none" w:color="000000" w:sz="0" w:space="0"/>
                <w:left w:val="none" w:color="000000" w:sz="0" w:space="0"/>
                <w:bottom w:val="none" w:color="000000" w:sz="0" w:space="0"/>
                <w:right w:val="none" w:color="000000" w:sz="0" w:space="0"/>
                <w:between w:val="none" w:color="000000" w:sz="0" w:space="0"/>
              </w:pBdr>
              <w:rPr>
                <w:color w:val="000000"/>
              </w:rPr>
            </w:pPr>
          </w:p>
        </w:tc>
      </w:tr>
    </w:tbl>
    <w:p w14:paraId="00000499">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49A">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Ši pasiūlyme ir (ar) kituose dokumentuose nurodyta informacija yra konfidenciali**/perkančioji organizacija šios informacijos negali atskleisti tretiesiems asmenims/:</w:t>
      </w:r>
    </w:p>
    <w:tbl>
      <w:tblPr>
        <w:tblStyle w:val="145"/>
        <w:tblW w:w="10348" w:type="dxa"/>
        <w:tblInd w:w="108" w:type="dxa"/>
        <w:tblLayout w:type="fixed"/>
        <w:tblCellMar>
          <w:top w:w="0" w:type="dxa"/>
          <w:left w:w="10" w:type="dxa"/>
          <w:bottom w:w="0" w:type="dxa"/>
          <w:right w:w="10" w:type="dxa"/>
        </w:tblCellMar>
      </w:tblPr>
      <w:tblGrid>
        <w:gridCol w:w="567"/>
        <w:gridCol w:w="3544"/>
        <w:gridCol w:w="3118"/>
        <w:gridCol w:w="3119"/>
      </w:tblGrid>
      <w:tr w14:paraId="28A44215">
        <w:tc>
          <w:tcPr>
            <w:tcW w:w="567"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vAlign w:val="center"/>
          </w:tcPr>
          <w:p w14:paraId="0000049B">
            <w:pPr>
              <w:pBdr>
                <w:top w:val="none" w:color="000000" w:sz="0" w:space="0"/>
                <w:left w:val="none" w:color="000000" w:sz="0" w:space="0"/>
                <w:bottom w:val="none" w:color="000000" w:sz="0" w:space="0"/>
                <w:right w:val="none" w:color="000000" w:sz="0" w:space="0"/>
                <w:between w:val="none" w:color="000000" w:sz="0" w:space="0"/>
              </w:pBdr>
              <w:jc w:val="center"/>
              <w:rPr>
                <w:b/>
                <w:color w:val="000000"/>
                <w:sz w:val="20"/>
                <w:szCs w:val="20"/>
              </w:rPr>
            </w:pPr>
            <w:r>
              <w:rPr>
                <w:b/>
                <w:color w:val="000000"/>
                <w:sz w:val="20"/>
                <w:szCs w:val="20"/>
              </w:rPr>
              <w:t>Eil.Nr.</w:t>
            </w:r>
          </w:p>
        </w:tc>
        <w:tc>
          <w:tcPr>
            <w:tcW w:w="3544"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vAlign w:val="center"/>
          </w:tcPr>
          <w:p w14:paraId="0000049C">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Dokumento (failo) pavadinimas</w:t>
            </w:r>
          </w:p>
        </w:tc>
        <w:tc>
          <w:tcPr>
            <w:tcW w:w="3118"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vAlign w:val="center"/>
          </w:tcPr>
          <w:p w14:paraId="0000049D">
            <w:pPr>
              <w:pBdr>
                <w:top w:val="none" w:color="000000" w:sz="0" w:space="0"/>
                <w:left w:val="none" w:color="000000" w:sz="0" w:space="0"/>
                <w:bottom w:val="none" w:color="000000" w:sz="0" w:space="0"/>
                <w:right w:val="none" w:color="000000" w:sz="0" w:space="0"/>
                <w:between w:val="none" w:color="000000" w:sz="0" w:space="0"/>
              </w:pBdr>
              <w:jc w:val="center"/>
              <w:rPr>
                <w:color w:val="000000"/>
                <w:lang w:val="sv-SE"/>
              </w:rPr>
            </w:pPr>
            <w:r>
              <w:rPr>
                <w:b/>
                <w:color w:val="000000"/>
                <w:lang w:val="sv-SE"/>
              </w:rPr>
              <w:t>Paaiškinimas, kokia konkreti informacija dokumente (faile) yra konfidenciali</w:t>
            </w:r>
          </w:p>
        </w:tc>
        <w:tc>
          <w:tcPr>
            <w:tcW w:w="3119" w:type="dxa"/>
            <w:tcBorders>
              <w:top w:val="single" w:color="000000" w:sz="4" w:space="0"/>
              <w:left w:val="single" w:color="000000" w:sz="4" w:space="0"/>
              <w:bottom w:val="single" w:color="000000" w:sz="4" w:space="0"/>
              <w:right w:val="single" w:color="000000" w:sz="4" w:space="0"/>
            </w:tcBorders>
            <w:shd w:val="clear" w:color="auto" w:fill="D9D9D9"/>
            <w:tcMar>
              <w:top w:w="0" w:type="dxa"/>
              <w:left w:w="108" w:type="dxa"/>
              <w:bottom w:w="0" w:type="dxa"/>
              <w:right w:w="108" w:type="dxa"/>
            </w:tcMar>
            <w:vAlign w:val="center"/>
          </w:tcPr>
          <w:p w14:paraId="0000049E">
            <w:pPr>
              <w:pBdr>
                <w:top w:val="none" w:color="000000" w:sz="0" w:space="0"/>
                <w:left w:val="none" w:color="000000" w:sz="0" w:space="0"/>
                <w:bottom w:val="none" w:color="000000" w:sz="0" w:space="0"/>
                <w:right w:val="none" w:color="000000" w:sz="0" w:space="0"/>
                <w:between w:val="none" w:color="000000" w:sz="0" w:space="0"/>
              </w:pBdr>
              <w:jc w:val="center"/>
              <w:rPr>
                <w:b/>
                <w:color w:val="000000"/>
                <w:lang w:val="sv-SE"/>
              </w:rPr>
            </w:pPr>
            <w:r>
              <w:rPr>
                <w:b/>
                <w:color w:val="000000"/>
                <w:lang w:val="sv-SE"/>
              </w:rPr>
              <w:t>Konfidencialumo pagrindimas (kokiu pagrindu informacija laikoma konfidencialia)</w:t>
            </w:r>
          </w:p>
        </w:tc>
      </w:tr>
      <w:tr w14:paraId="4087E40A">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9F">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w:t>
            </w:r>
          </w:p>
        </w:tc>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0">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[Tiekėjas įrašo dokumento pavadinimą]</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1">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c>
          <w:tcPr>
            <w:tcW w:w="311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2">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38442741">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3">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2.</w:t>
            </w:r>
          </w:p>
        </w:tc>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4">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5">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c>
          <w:tcPr>
            <w:tcW w:w="311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6">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29A2B75D">
        <w:tblPrEx>
          <w:tblCellMar>
            <w:top w:w="0" w:type="dxa"/>
            <w:left w:w="10" w:type="dxa"/>
            <w:bottom w:w="0" w:type="dxa"/>
            <w:right w:w="10" w:type="dxa"/>
          </w:tblCellMar>
        </w:tblPrEx>
        <w:tc>
          <w:tcPr>
            <w:tcW w:w="56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7">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3</w:t>
            </w:r>
          </w:p>
        </w:tc>
        <w:tc>
          <w:tcPr>
            <w:tcW w:w="354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8">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w:t>
            </w:r>
          </w:p>
        </w:tc>
        <w:tc>
          <w:tcPr>
            <w:tcW w:w="311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9">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c>
          <w:tcPr>
            <w:tcW w:w="311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4AA">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bl>
    <w:p w14:paraId="000004AB">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**Pildyti tuomet, jei bus pateikta konfidenciali informacija. Tiekėjui nenurodžius, kokia informacija yra konfidenciali, laikoma, kad konfidencialios informacijos pasiūlyme nėra.</w:t>
      </w:r>
    </w:p>
    <w:p w14:paraId="000004AC">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4A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Pasiūlymas galioja 90 dienų.</w:t>
      </w:r>
    </w:p>
    <w:p w14:paraId="000004AE">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_____________________________________________________________</w:t>
      </w:r>
    </w:p>
    <w:p w14:paraId="000004AF">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(Tiekėjo arba jo įgalioto asmens vardas, pavardė, parašas)</w:t>
      </w:r>
    </w:p>
    <w:p w14:paraId="000004B0">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p w14:paraId="000004B1">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4B2">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p w14:paraId="000004B3">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__________</w:t>
      </w:r>
    </w:p>
    <w:p w14:paraId="000004B4">
      <w:pPr>
        <w:pageBreakBefore/>
        <w:pBdr>
          <w:top w:val="none" w:color="000000" w:sz="0" w:space="0"/>
          <w:left w:val="none" w:color="000000" w:sz="0" w:space="0"/>
          <w:bottom w:val="none" w:color="000000" w:sz="0" w:space="0"/>
          <w:right w:val="none" w:color="000000" w:sz="0" w:space="0"/>
          <w:between w:val="none" w:color="000000" w:sz="0" w:space="0"/>
        </w:pBdr>
        <w:rPr>
          <w:color w:val="7030A0"/>
        </w:rPr>
      </w:pPr>
    </w:p>
    <w:p w14:paraId="000004B5">
      <w:pPr>
        <w:pBdr>
          <w:top w:val="none" w:color="000000" w:sz="0" w:space="0"/>
          <w:left w:val="none" w:color="000000" w:sz="0" w:space="0"/>
          <w:bottom w:val="none" w:color="000000" w:sz="0" w:space="0"/>
          <w:right w:val="none" w:color="000000" w:sz="0" w:space="0"/>
          <w:between w:val="none" w:color="000000" w:sz="0" w:space="0"/>
        </w:pBdr>
        <w:rPr>
          <w:b/>
          <w:smallCaps/>
          <w:color w:val="000000"/>
        </w:rPr>
      </w:pPr>
    </w:p>
    <w:p w14:paraId="000004B6">
      <w:pPr>
        <w:keepNext/>
        <w:keepLines/>
        <w:pBdr>
          <w:top w:val="none" w:color="000000" w:sz="0" w:space="0"/>
          <w:left w:val="none" w:color="000000" w:sz="0" w:space="0"/>
          <w:bottom w:val="none" w:color="000000" w:sz="0" w:space="0"/>
          <w:right w:val="none" w:color="000000" w:sz="0" w:space="0"/>
          <w:between w:val="none" w:color="000000" w:sz="0" w:space="0"/>
        </w:pBdr>
        <w:spacing w:before="160" w:after="80"/>
        <w:ind w:left="5103"/>
        <w:rPr>
          <w:color w:val="000000"/>
        </w:rPr>
      </w:pPr>
      <w:bookmarkStart w:id="25" w:name="_heading=h.glif89p8ipiy" w:colFirst="0" w:colLast="0"/>
      <w:bookmarkEnd w:id="25"/>
      <w:r>
        <w:rPr>
          <w:color w:val="000000"/>
        </w:rPr>
        <w:t>Pirkimo sąlygų 7 priedas „Pasiūlymų vertinimo kriterijai ir sąlygos“</w:t>
      </w:r>
    </w:p>
    <w:p w14:paraId="000004B7">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p>
    <w:p w14:paraId="000004B8">
      <w:pPr>
        <w:pBdr>
          <w:top w:val="none" w:color="000000" w:sz="0" w:space="0"/>
          <w:left w:val="none" w:color="000000" w:sz="0" w:space="0"/>
          <w:bottom w:val="none" w:color="000000" w:sz="0" w:space="0"/>
          <w:right w:val="none" w:color="000000" w:sz="0" w:space="0"/>
          <w:between w:val="none" w:color="000000" w:sz="0" w:space="0"/>
        </w:pBdr>
        <w:jc w:val="center"/>
        <w:rPr>
          <w:color w:val="595959"/>
          <w:sz w:val="28"/>
          <w:szCs w:val="28"/>
        </w:rPr>
      </w:pPr>
      <w:r>
        <w:rPr>
          <w:b/>
          <w:color w:val="595959"/>
        </w:rPr>
        <w:t>PASIŪLYMŲ VERTINIMO KRITERIJAI IR SĄLYGOS</w:t>
      </w:r>
    </w:p>
    <w:p w14:paraId="000004B9">
      <w:pPr>
        <w:pBdr>
          <w:top w:val="none" w:color="000000" w:sz="0" w:space="0"/>
          <w:left w:val="none" w:color="000000" w:sz="0" w:space="0"/>
          <w:bottom w:val="none" w:color="000000" w:sz="0" w:space="0"/>
          <w:right w:val="none" w:color="000000" w:sz="0" w:space="0"/>
          <w:between w:val="none" w:color="000000" w:sz="0" w:space="0"/>
        </w:pBdr>
        <w:rPr>
          <w:b/>
          <w:color w:val="000000"/>
        </w:rPr>
      </w:pPr>
    </w:p>
    <w:p w14:paraId="000004BA">
      <w:pPr>
        <w:ind w:firstLine="851"/>
        <w:jc w:val="both"/>
        <w:rPr>
          <w:color w:val="000000"/>
        </w:rPr>
      </w:pPr>
      <w:r>
        <w:rPr>
          <w:color w:val="000000"/>
        </w:rPr>
        <w:t>1. Perkančiosios organizacijos neatmesti pasiūlymai vertinami pagal kainos ir kokybės santykio kriterijų.</w:t>
      </w:r>
    </w:p>
    <w:p w14:paraId="000004BB">
      <w:pPr>
        <w:ind w:firstLine="851"/>
        <w:jc w:val="both"/>
        <w:rPr>
          <w:color w:val="000000"/>
        </w:rPr>
      </w:pPr>
      <w:r>
        <w:rPr>
          <w:color w:val="000000"/>
        </w:rPr>
        <w:t>2. Ekonomiškai naudingiausias pasiūlymas – tai pasiūlymas, kurio kainos ir kokybės santykis (S) yra didžiausias.</w:t>
      </w:r>
    </w:p>
    <w:p w14:paraId="000004BC">
      <w:pPr>
        <w:spacing w:after="40"/>
        <w:ind w:firstLine="851"/>
        <w:jc w:val="both"/>
        <w:rPr>
          <w:color w:val="000000"/>
          <w:sz w:val="22"/>
          <w:szCs w:val="22"/>
        </w:rPr>
      </w:pPr>
      <w:r>
        <w:rPr>
          <w:color w:val="000000"/>
        </w:rPr>
        <w:t xml:space="preserve">3. Pasiūlymų ekonominio naudingumo S vertinimas pagal kainos (C) kriterijų ir kriterijų papildomos garantijos nuo privalomos </w:t>
      </w:r>
      <w:r>
        <w:rPr>
          <w:rFonts w:hint="default"/>
          <w:color w:val="000000"/>
          <w:lang w:val="en-US"/>
        </w:rPr>
        <w:t>nuo techninėje specifikacijoje nurodytos</w:t>
      </w:r>
      <w:r>
        <w:rPr>
          <w:color w:val="000000"/>
        </w:rPr>
        <w:t xml:space="preserve"> neatsižvelgiant į ridą siūlomą papildomą garantinį terminą (T). Tokia balų suteikimo tvarka:</w:t>
      </w:r>
    </w:p>
    <w:tbl>
      <w:tblPr>
        <w:tblStyle w:val="146"/>
        <w:tblW w:w="949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 w:type="dxa"/>
          <w:bottom w:w="0" w:type="dxa"/>
          <w:right w:w="10" w:type="dxa"/>
        </w:tblCellMar>
      </w:tblPr>
      <w:tblGrid>
        <w:gridCol w:w="6096"/>
        <w:gridCol w:w="3402"/>
      </w:tblGrid>
      <w:tr w14:paraId="62614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c>
          <w:tcPr>
            <w:tcW w:w="6096" w:type="dxa"/>
            <w:tcMar>
              <w:top w:w="0" w:type="dxa"/>
              <w:left w:w="108" w:type="dxa"/>
              <w:bottom w:w="0" w:type="dxa"/>
              <w:right w:w="108" w:type="dxa"/>
            </w:tcMar>
            <w:vAlign w:val="center"/>
          </w:tcPr>
          <w:p w14:paraId="000004BD">
            <w:pPr>
              <w:pBdr>
                <w:top w:val="none" w:color="000000" w:sz="0" w:space="0"/>
                <w:left w:val="none" w:color="000000" w:sz="0" w:space="0"/>
                <w:bottom w:val="none" w:color="000000" w:sz="0" w:space="0"/>
                <w:right w:val="none" w:color="000000" w:sz="0" w:space="0"/>
                <w:between w:val="none" w:color="000000" w:sz="0" w:space="0"/>
              </w:pBdr>
              <w:ind w:firstLine="851"/>
              <w:rPr>
                <w:color w:val="000000"/>
              </w:rPr>
            </w:pPr>
            <w:r>
              <w:rPr>
                <w:color w:val="000000"/>
              </w:rPr>
              <w:t>Vertinimo kriterijai</w:t>
            </w:r>
          </w:p>
        </w:tc>
        <w:tc>
          <w:tcPr>
            <w:tcW w:w="3402" w:type="dxa"/>
            <w:tcMar>
              <w:top w:w="0" w:type="dxa"/>
              <w:left w:w="108" w:type="dxa"/>
              <w:bottom w:w="0" w:type="dxa"/>
              <w:right w:w="108" w:type="dxa"/>
            </w:tcMar>
            <w:vAlign w:val="center"/>
          </w:tcPr>
          <w:p w14:paraId="000004BE">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Lyginamasis svoris ekonominio naudingumo įvertinime</w:t>
            </w:r>
          </w:p>
        </w:tc>
      </w:tr>
      <w:tr w14:paraId="4805A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c>
          <w:tcPr>
            <w:tcW w:w="6096" w:type="dxa"/>
            <w:tcMar>
              <w:top w:w="0" w:type="dxa"/>
              <w:left w:w="108" w:type="dxa"/>
              <w:bottom w:w="0" w:type="dxa"/>
              <w:right w:w="108" w:type="dxa"/>
            </w:tcMar>
          </w:tcPr>
          <w:p w14:paraId="000004BF">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 xml:space="preserve">Pirmas kriterijus (C) – Autobusų kaina su PVM </w:t>
            </w:r>
          </w:p>
        </w:tc>
        <w:tc>
          <w:tcPr>
            <w:tcW w:w="3402" w:type="dxa"/>
            <w:tcMar>
              <w:top w:w="0" w:type="dxa"/>
              <w:left w:w="108" w:type="dxa"/>
              <w:bottom w:w="0" w:type="dxa"/>
              <w:right w:w="108" w:type="dxa"/>
            </w:tcMar>
            <w:vAlign w:val="center"/>
          </w:tcPr>
          <w:p w14:paraId="000004C0">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X=80</w:t>
            </w:r>
          </w:p>
        </w:tc>
      </w:tr>
      <w:tr w14:paraId="33907C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c>
          <w:tcPr>
            <w:tcW w:w="6096" w:type="dxa"/>
            <w:tcMar>
              <w:top w:w="0" w:type="dxa"/>
              <w:left w:w="108" w:type="dxa"/>
              <w:bottom w:w="0" w:type="dxa"/>
              <w:right w:w="108" w:type="dxa"/>
            </w:tcMar>
          </w:tcPr>
          <w:p w14:paraId="000004C1">
            <w:pPr>
              <w:pBdr>
                <w:top w:val="none" w:color="000000" w:sz="0" w:space="0"/>
                <w:left w:val="none" w:color="000000" w:sz="0" w:space="0"/>
                <w:bottom w:val="none" w:color="000000" w:sz="0" w:space="0"/>
                <w:right w:val="none" w:color="000000" w:sz="0" w:space="0"/>
                <w:between w:val="none" w:color="000000" w:sz="0" w:space="0"/>
              </w:pBdr>
              <w:rPr>
                <w:rFonts w:hint="default"/>
                <w:color w:val="000000"/>
                <w:highlight w:val="red"/>
                <w:lang w:val="en-US"/>
              </w:rPr>
            </w:pPr>
            <w:r>
              <w:rPr>
                <w:color w:val="000000"/>
              </w:rPr>
              <w:t>Antrasis (T) papildomas garantijos terminas nuo privalom</w:t>
            </w:r>
            <w:r>
              <w:rPr>
                <w:rFonts w:hint="default"/>
                <w:color w:val="000000"/>
                <w:lang w:val="en-US"/>
              </w:rPr>
              <w:t>os</w:t>
            </w:r>
            <w:r>
              <w:rPr>
                <w:color w:val="000000"/>
              </w:rPr>
              <w:t xml:space="preserve"> </w:t>
            </w:r>
            <w:r>
              <w:rPr>
                <w:rFonts w:hint="default"/>
                <w:color w:val="000000"/>
                <w:lang w:val="en-US"/>
              </w:rPr>
              <w:t xml:space="preserve">techninėje </w:t>
            </w:r>
            <w:r>
              <w:rPr>
                <w:color w:val="000000"/>
              </w:rPr>
              <w:t>specifikacijo</w:t>
            </w:r>
            <w:r>
              <w:rPr>
                <w:rFonts w:hint="default"/>
                <w:color w:val="000000"/>
                <w:lang w:val="en-US"/>
              </w:rPr>
              <w:t>je</w:t>
            </w:r>
            <w:r>
              <w:rPr>
                <w:color w:val="000000"/>
              </w:rPr>
              <w:t xml:space="preserve"> nurodyto</w:t>
            </w:r>
            <w:r>
              <w:rPr>
                <w:rFonts w:hint="default"/>
                <w:color w:val="000000"/>
                <w:lang w:val="en-US"/>
              </w:rPr>
              <w:t>s</w:t>
            </w:r>
            <w:r>
              <w:rPr>
                <w:color w:val="000000"/>
              </w:rPr>
              <w:t xml:space="preserve"> 3 </w:t>
            </w:r>
            <w:r>
              <w:t>mėnesių</w:t>
            </w:r>
            <w:r>
              <w:rPr>
                <w:color w:val="000000"/>
              </w:rPr>
              <w:t xml:space="preserve"> termino </w:t>
            </w:r>
            <w:sdt>
              <w:sdtPr>
                <w:tag w:val="goog_rdk_1"/>
                <w:id w:val="1659692027"/>
              </w:sdtPr>
              <w:sdtContent/>
            </w:sdt>
            <w:r>
              <w:rPr>
                <w:rFonts w:hint="default"/>
                <w:lang w:val="en-US"/>
              </w:rPr>
              <w:t>garantijos</w:t>
            </w:r>
          </w:p>
        </w:tc>
        <w:tc>
          <w:tcPr>
            <w:tcW w:w="3402" w:type="dxa"/>
            <w:tcMar>
              <w:top w:w="0" w:type="dxa"/>
              <w:left w:w="108" w:type="dxa"/>
              <w:bottom w:w="0" w:type="dxa"/>
              <w:right w:w="108" w:type="dxa"/>
            </w:tcMar>
            <w:vAlign w:val="center"/>
          </w:tcPr>
          <w:p w14:paraId="000004C2">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Y=20</w:t>
            </w:r>
          </w:p>
        </w:tc>
      </w:tr>
      <w:tr w14:paraId="48FB2E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 w:type="dxa"/>
            <w:bottom w:w="0" w:type="dxa"/>
            <w:right w:w="10" w:type="dxa"/>
          </w:tblCellMar>
        </w:tblPrEx>
        <w:trPr>
          <w:trHeight w:val="562" w:hRule="atLeast"/>
        </w:trPr>
        <w:tc>
          <w:tcPr>
            <w:tcW w:w="6096" w:type="dxa"/>
            <w:tcMar>
              <w:top w:w="0" w:type="dxa"/>
              <w:left w:w="108" w:type="dxa"/>
              <w:bottom w:w="0" w:type="dxa"/>
              <w:right w:w="108" w:type="dxa"/>
            </w:tcMar>
          </w:tcPr>
          <w:p w14:paraId="000004C3">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Iš viso maksimalus galimas surinkti balų skaičius (S)</w:t>
            </w:r>
          </w:p>
        </w:tc>
        <w:tc>
          <w:tcPr>
            <w:tcW w:w="3402" w:type="dxa"/>
            <w:tcMar>
              <w:top w:w="0" w:type="dxa"/>
              <w:left w:w="108" w:type="dxa"/>
              <w:bottom w:w="0" w:type="dxa"/>
              <w:right w:w="108" w:type="dxa"/>
            </w:tcMar>
            <w:vAlign w:val="center"/>
          </w:tcPr>
          <w:p w14:paraId="000004C4">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100</w:t>
            </w:r>
          </w:p>
        </w:tc>
      </w:tr>
    </w:tbl>
    <w:p w14:paraId="000004C5">
      <w:pPr>
        <w:pBdr>
          <w:top w:val="none" w:color="000000" w:sz="0" w:space="0"/>
          <w:left w:val="none" w:color="000000" w:sz="0" w:space="0"/>
          <w:bottom w:val="none" w:color="000000" w:sz="0" w:space="0"/>
          <w:right w:val="none" w:color="000000" w:sz="0" w:space="0"/>
          <w:between w:val="none" w:color="000000" w:sz="0" w:space="0"/>
        </w:pBdr>
        <w:tabs>
          <w:tab w:val="left" w:pos="9631"/>
        </w:tabs>
        <w:rPr>
          <w:b/>
          <w:color w:val="000000"/>
          <w:lang w:val="fi-FI"/>
        </w:rPr>
      </w:pPr>
      <w:r>
        <w:rPr>
          <w:b/>
          <w:color w:val="000000"/>
          <w:lang w:val="fi-FI"/>
        </w:rPr>
        <w:t xml:space="preserve">     Ekonomiškai naudingiausio pasiūlymo nustatymo taisyklės:</w:t>
      </w:r>
    </w:p>
    <w:p w14:paraId="000004C6">
      <w:pPr>
        <w:pBdr>
          <w:top w:val="none" w:color="000000" w:sz="0" w:space="0"/>
          <w:left w:val="none" w:color="000000" w:sz="0" w:space="0"/>
          <w:bottom w:val="none" w:color="000000" w:sz="0" w:space="0"/>
          <w:right w:val="none" w:color="000000" w:sz="0" w:space="0"/>
          <w:between w:val="none" w:color="000000" w:sz="0" w:space="0"/>
        </w:pBdr>
        <w:ind w:firstLine="851"/>
        <w:rPr>
          <w:color w:val="000000"/>
          <w:lang w:val="fi-FI"/>
        </w:rPr>
      </w:pPr>
      <w:r>
        <w:rPr>
          <w:color w:val="000000"/>
          <w:lang w:val="fi-FI"/>
        </w:rPr>
        <w:t>4. Ekonominis naudingumas (S) apskaičiuojamas sudedant tiekėjo pasiūlymo kainos (C) ir papildomo garantinio termino su ridos aplinkybe (T) balus:</w:t>
      </w:r>
    </w:p>
    <w:p w14:paraId="000004C7">
      <w:pPr>
        <w:pBdr>
          <w:top w:val="none" w:color="000000" w:sz="0" w:space="0"/>
          <w:left w:val="none" w:color="000000" w:sz="0" w:space="0"/>
          <w:bottom w:val="none" w:color="000000" w:sz="0" w:space="0"/>
          <w:right w:val="none" w:color="000000" w:sz="0" w:space="0"/>
          <w:between w:val="none" w:color="000000" w:sz="0" w:space="0"/>
        </w:pBdr>
        <w:ind w:firstLine="851"/>
        <w:rPr>
          <w:color w:val="000000"/>
          <w:lang w:val="fi-FI"/>
        </w:rPr>
      </w:pPr>
    </w:p>
    <w:p w14:paraId="000004C8">
      <w:pPr>
        <w:jc w:val="center"/>
        <w:rPr>
          <w:rFonts w:ascii="Cambria Math" w:hAnsi="Cambria Math" w:eastAsia="Cambria Math" w:cs="Cambria Math"/>
          <w:color w:val="000000"/>
        </w:rPr>
      </w:pPr>
      <m:oMathPara>
        <m:oMath>
          <m:r>
            <m:rPr/>
            <w:rPr>
              <w:rFonts w:ascii="Cambria Math" w:hAnsi="Cambria Math" w:eastAsia="Cambria Math" w:cs="Cambria Math"/>
              <w:color w:val="000000"/>
            </w:rPr>
            <m:t>S=C+T</m:t>
          </m:r>
        </m:oMath>
      </m:oMathPara>
    </w:p>
    <w:p w14:paraId="000004C9">
      <w:pPr>
        <w:pBdr>
          <w:top w:val="none" w:color="000000" w:sz="0" w:space="0"/>
          <w:left w:val="none" w:color="000000" w:sz="0" w:space="0"/>
          <w:bottom w:val="none" w:color="000000" w:sz="0" w:space="0"/>
          <w:right w:val="none" w:color="000000" w:sz="0" w:space="0"/>
          <w:between w:val="none" w:color="000000" w:sz="0" w:space="0"/>
        </w:pBdr>
        <w:ind w:firstLine="851"/>
        <w:rPr>
          <w:color w:val="000000"/>
        </w:rPr>
      </w:pPr>
    </w:p>
    <w:p w14:paraId="000004CA">
      <w:pPr>
        <w:pBdr>
          <w:top w:val="none" w:color="000000" w:sz="0" w:space="0"/>
          <w:left w:val="none" w:color="000000" w:sz="0" w:space="0"/>
          <w:bottom w:val="none" w:color="000000" w:sz="0" w:space="0"/>
          <w:right w:val="none" w:color="000000" w:sz="0" w:space="0"/>
          <w:between w:val="none" w:color="000000" w:sz="0" w:space="0"/>
        </w:pBdr>
        <w:ind w:firstLine="851"/>
        <w:rPr>
          <w:color w:val="000000"/>
        </w:rPr>
      </w:pPr>
      <w:r>
        <w:rPr>
          <w:color w:val="000000"/>
        </w:rPr>
        <w:t>5. Pasiūlymo kainos (C) balai apskaičiuojami mažiausios pasiūlytos kainos (C</w:t>
      </w:r>
      <w:r>
        <w:rPr>
          <w:color w:val="000000"/>
          <w:vertAlign w:val="subscript"/>
        </w:rPr>
        <w:t>min</w:t>
      </w:r>
      <w:r>
        <w:rPr>
          <w:color w:val="000000"/>
        </w:rPr>
        <w:t>) ir vertinamo pasiūlymo kainos (C</w:t>
      </w:r>
      <w:r>
        <w:rPr>
          <w:color w:val="000000"/>
          <w:vertAlign w:val="subscript"/>
        </w:rPr>
        <w:t>p</w:t>
      </w:r>
      <w:r>
        <w:rPr>
          <w:color w:val="000000"/>
        </w:rPr>
        <w:t>) santykį padauginant iš kainos lyginamojo svorio (X):</w:t>
      </w:r>
    </w:p>
    <w:p w14:paraId="000004CB">
      <w:pPr>
        <w:pBdr>
          <w:top w:val="none" w:color="000000" w:sz="0" w:space="0"/>
          <w:left w:val="none" w:color="000000" w:sz="0" w:space="0"/>
          <w:bottom w:val="none" w:color="000000" w:sz="0" w:space="0"/>
          <w:right w:val="none" w:color="000000" w:sz="0" w:space="0"/>
          <w:between w:val="none" w:color="000000" w:sz="0" w:space="0"/>
        </w:pBdr>
        <w:ind w:firstLine="851"/>
        <w:rPr>
          <w:color w:val="000000"/>
        </w:rPr>
      </w:pPr>
    </w:p>
    <w:p w14:paraId="000004CC">
      <w:pPr>
        <w:pBdr>
          <w:top w:val="none" w:color="000000" w:sz="0" w:space="0"/>
          <w:left w:val="none" w:color="000000" w:sz="0" w:space="0"/>
          <w:bottom w:val="none" w:color="000000" w:sz="0" w:space="0"/>
          <w:right w:val="none" w:color="000000" w:sz="0" w:space="0"/>
          <w:between w:val="none" w:color="000000" w:sz="0" w:space="0"/>
        </w:pBdr>
        <w:ind w:firstLine="851"/>
        <w:rPr>
          <w:color w:val="000000"/>
        </w:rPr>
      </w:pPr>
      <m:oMath>
        <m:r>
          <m:rPr/>
          <w:rPr>
            <w:rFonts w:ascii="Cambria Math" w:hAnsi="Cambria Math" w:eastAsia="Cambria Math" w:cs="Cambria Math"/>
            <w:color w:val="000000"/>
          </w:rPr>
          <m:t>C=</m:t>
        </m:r>
        <m:f>
          <m:fPr>
            <m:ctrlPr>
              <w:rPr>
                <w:rFonts w:ascii="Cambria Math" w:hAnsi="Cambria Math" w:eastAsia="Cambria Math" w:cs="Cambria Math"/>
                <w:color w:val="000000"/>
              </w:rPr>
            </m:ctrlPr>
          </m:fPr>
          <m:num>
            <m:sSub>
              <m:sSubPr>
                <m:ctrlPr>
                  <w:rPr>
                    <w:rFonts w:ascii="Cambria Math" w:hAnsi="Cambria Math" w:eastAsia="Cambria Math" w:cs="Cambria Math"/>
                    <w:color w:val="000000"/>
                  </w:rPr>
                </m:ctrlPr>
              </m:sSubPr>
              <m:e>
                <m:r>
                  <m:rPr/>
                  <w:rPr>
                    <w:rFonts w:ascii="Cambria Math" w:hAnsi="Cambria Math" w:eastAsia="Cambria Math" w:cs="Cambria Math"/>
                    <w:color w:val="000000"/>
                  </w:rPr>
                  <m:t>C</m:t>
                </m:r>
                <m:ctrlPr>
                  <w:rPr>
                    <w:rFonts w:ascii="Cambria Math" w:hAnsi="Cambria Math" w:eastAsia="Cambria Math" w:cs="Cambria Math"/>
                    <w:color w:val="000000"/>
                  </w:rPr>
                </m:ctrlPr>
              </m:e>
              <m:sub>
                <m:r>
                  <m:rPr/>
                  <w:rPr>
                    <w:rFonts w:ascii="Cambria Math" w:hAnsi="Cambria Math" w:eastAsia="Cambria Math" w:cs="Cambria Math"/>
                    <w:color w:val="000000"/>
                  </w:rPr>
                  <m:t>min</m:t>
                </m:r>
                <m:ctrlPr>
                  <w:rPr>
                    <w:rFonts w:ascii="Cambria Math" w:hAnsi="Cambria Math" w:eastAsia="Cambria Math" w:cs="Cambria Math"/>
                    <w:color w:val="000000"/>
                  </w:rPr>
                </m:ctrlPr>
              </m:sub>
            </m:sSub>
            <m:ctrlPr>
              <w:rPr>
                <w:rFonts w:ascii="Cambria Math" w:hAnsi="Cambria Math" w:eastAsia="Cambria Math" w:cs="Cambria Math"/>
                <w:color w:val="000000"/>
              </w:rPr>
            </m:ctrlPr>
          </m:num>
          <m:den>
            <m:sSub>
              <m:sSubPr>
                <m:ctrlPr>
                  <w:rPr>
                    <w:rFonts w:ascii="Cambria Math" w:hAnsi="Cambria Math" w:eastAsia="Cambria Math" w:cs="Cambria Math"/>
                    <w:color w:val="000000"/>
                  </w:rPr>
                </m:ctrlPr>
              </m:sSubPr>
              <m:e>
                <m:r>
                  <m:rPr/>
                  <w:rPr>
                    <w:rFonts w:ascii="Cambria Math" w:hAnsi="Cambria Math" w:eastAsia="Cambria Math" w:cs="Cambria Math"/>
                    <w:color w:val="000000"/>
                  </w:rPr>
                  <m:t>C</m:t>
                </m:r>
                <m:ctrlPr>
                  <w:rPr>
                    <w:rFonts w:ascii="Cambria Math" w:hAnsi="Cambria Math" w:eastAsia="Cambria Math" w:cs="Cambria Math"/>
                    <w:color w:val="000000"/>
                  </w:rPr>
                </m:ctrlPr>
              </m:e>
              <m:sub>
                <m:r>
                  <m:rPr/>
                  <w:rPr>
                    <w:rFonts w:ascii="Cambria Math" w:hAnsi="Cambria Math" w:eastAsia="Cambria Math" w:cs="Cambria Math"/>
                    <w:color w:val="000000"/>
                  </w:rPr>
                  <m:t>p</m:t>
                </m:r>
                <m:ctrlPr>
                  <w:rPr>
                    <w:rFonts w:ascii="Cambria Math" w:hAnsi="Cambria Math" w:eastAsia="Cambria Math" w:cs="Cambria Math"/>
                    <w:color w:val="000000"/>
                  </w:rPr>
                </m:ctrlPr>
              </m:sub>
            </m:sSub>
            <m:ctrlPr>
              <w:rPr>
                <w:rFonts w:ascii="Cambria Math" w:hAnsi="Cambria Math" w:eastAsia="Cambria Math" w:cs="Cambria Math"/>
                <w:color w:val="000000"/>
              </w:rPr>
            </m:ctrlPr>
          </m:den>
        </m:f>
      </m:oMath>
      <w:r>
        <w:rPr>
          <w:color w:val="000000"/>
        </w:rPr>
        <w:t xml:space="preserve">  </w:t>
      </w:r>
      <w:r>
        <w:rPr>
          <w:color w:val="000000"/>
          <w:vertAlign w:val="subscript"/>
        </w:rPr>
        <w:t>*</w:t>
      </w:r>
      <w:r>
        <w:rPr>
          <w:color w:val="000000"/>
        </w:rPr>
        <w:t>X</w:t>
      </w:r>
    </w:p>
    <w:p w14:paraId="000004CD">
      <w:pPr>
        <w:pBdr>
          <w:top w:val="none" w:color="000000" w:sz="0" w:space="0"/>
          <w:left w:val="none" w:color="000000" w:sz="0" w:space="0"/>
          <w:bottom w:val="none" w:color="000000" w:sz="0" w:space="0"/>
          <w:right w:val="none" w:color="000000" w:sz="0" w:space="0"/>
          <w:between w:val="none" w:color="000000" w:sz="0" w:space="0"/>
        </w:pBdr>
        <w:shd w:val="clear" w:color="auto" w:fill="FFFFFF"/>
        <w:tabs>
          <w:tab w:val="left" w:pos="709"/>
        </w:tabs>
        <w:rPr>
          <w:i/>
          <w:color w:val="000000"/>
        </w:rPr>
      </w:pPr>
    </w:p>
    <w:p w14:paraId="000004D0">
      <w:pPr>
        <w:pBdr>
          <w:top w:val="none" w:color="000000" w:sz="0" w:space="0"/>
          <w:left w:val="none" w:color="000000" w:sz="0" w:space="0"/>
          <w:bottom w:val="none" w:color="000000" w:sz="0" w:space="0"/>
          <w:right w:val="none" w:color="000000" w:sz="0" w:space="0"/>
          <w:between w:val="none" w:color="000000" w:sz="0" w:space="0"/>
        </w:pBdr>
        <w:shd w:val="clear" w:color="auto" w:fill="FFFFFF"/>
        <w:ind w:firstLine="851"/>
        <w:rPr>
          <w:color w:val="000000"/>
        </w:rPr>
      </w:pPr>
      <w:r>
        <w:rPr>
          <w:color w:val="000000"/>
        </w:rPr>
        <w:t xml:space="preserve">6.  Už papildomą nuo </w:t>
      </w:r>
      <w:r>
        <w:rPr>
          <w:rFonts w:hint="default"/>
          <w:color w:val="000000"/>
          <w:lang w:val="en-US"/>
        </w:rPr>
        <w:t xml:space="preserve">techninėje </w:t>
      </w:r>
      <w:r>
        <w:rPr>
          <w:color w:val="000000"/>
        </w:rPr>
        <w:t>specifikacijo</w:t>
      </w:r>
      <w:r>
        <w:rPr>
          <w:rFonts w:hint="default"/>
          <w:color w:val="000000"/>
          <w:lang w:val="en-US"/>
        </w:rPr>
        <w:t>je</w:t>
      </w:r>
      <w:r>
        <w:rPr>
          <w:color w:val="000000"/>
        </w:rPr>
        <w:t xml:space="preserve"> numatyto minimalaus privalomo garantinio termino pasiūlytas papaildomas garantinis terminas vertinamas balais bei nustatomas pagal lentelėje nustatyta taisyklę.</w:t>
      </w:r>
    </w:p>
    <w:p w14:paraId="0CF4935E">
      <w:pPr>
        <w:pBdr>
          <w:top w:val="none" w:color="000000" w:sz="0" w:space="0"/>
          <w:left w:val="none" w:color="000000" w:sz="0" w:space="0"/>
          <w:bottom w:val="none" w:color="000000" w:sz="0" w:space="0"/>
          <w:right w:val="none" w:color="000000" w:sz="0" w:space="0"/>
          <w:between w:val="none" w:color="000000" w:sz="0" w:space="0"/>
        </w:pBdr>
        <w:shd w:val="clear" w:color="auto" w:fill="FFFFFF"/>
        <w:ind w:firstLine="851"/>
        <w:rPr>
          <w:color w:val="000000"/>
        </w:rPr>
      </w:pPr>
      <w:r>
        <w:rPr>
          <w:color w:val="000000"/>
        </w:rPr>
        <w:t>Siūlomos papildomos garantijos kriterijaus apskaičiavimas (papildoma garantija turi būti taikoma neatsižvelgiant į ridą. Neįrašius jokių siūlomų terminų arba įrašius nulius, bus suteikiama 0 balų pagal šį kriterijų.</w:t>
      </w:r>
    </w:p>
    <w:tbl>
      <w:tblPr>
        <w:tblStyle w:val="147"/>
        <w:tblW w:w="9634" w:type="dxa"/>
        <w:tblInd w:w="-103" w:type="dxa"/>
        <w:tblLayout w:type="fixed"/>
        <w:tblCellMar>
          <w:top w:w="0" w:type="dxa"/>
          <w:left w:w="10" w:type="dxa"/>
          <w:bottom w:w="0" w:type="dxa"/>
          <w:right w:w="10" w:type="dxa"/>
        </w:tblCellMar>
      </w:tblPr>
      <w:tblGrid>
        <w:gridCol w:w="2830"/>
        <w:gridCol w:w="3505"/>
        <w:gridCol w:w="3299"/>
      </w:tblGrid>
      <w:tr w14:paraId="3B550FAC">
        <w:tblPrEx>
          <w:tblCellMar>
            <w:top w:w="0" w:type="dxa"/>
            <w:left w:w="10" w:type="dxa"/>
            <w:bottom w:w="0" w:type="dxa"/>
            <w:right w:w="10" w:type="dxa"/>
          </w:tblCellMar>
        </w:tblPrEx>
        <w:tc>
          <w:tcPr>
            <w:tcW w:w="2830"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1">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Kriterijaus parametras</w:t>
            </w:r>
          </w:p>
        </w:tc>
        <w:tc>
          <w:tcPr>
            <w:tcW w:w="3505"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6FF0ACB9">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 xml:space="preserve">Tiekėjo siūlomas </w:t>
            </w:r>
          </w:p>
          <w:p w14:paraId="000004D2">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papildomąs garantinis terminas mėnesiais, neįskaitant privalomo garantinio termino (virš privalomo).</w:t>
            </w:r>
          </w:p>
        </w:tc>
        <w:tc>
          <w:tcPr>
            <w:tcW w:w="329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3">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 xml:space="preserve">Ekonominio naudingumo </w:t>
            </w:r>
            <w:r>
              <w:rPr>
                <w:b/>
                <w:bCs/>
                <w:color w:val="000000"/>
                <w:sz w:val="22"/>
                <w:szCs w:val="22"/>
              </w:rPr>
              <w:t>balai</w:t>
            </w:r>
            <w:r>
              <w:rPr>
                <w:color w:val="000000"/>
                <w:sz w:val="22"/>
                <w:szCs w:val="22"/>
              </w:rPr>
              <w:t>, kurie bus suteikti šiam kriterijui</w:t>
            </w:r>
          </w:p>
        </w:tc>
      </w:tr>
      <w:tr w14:paraId="49470097">
        <w:tblPrEx>
          <w:tblCellMar>
            <w:top w:w="0" w:type="dxa"/>
            <w:left w:w="10" w:type="dxa"/>
            <w:bottom w:w="0" w:type="dxa"/>
            <w:right w:w="10" w:type="dxa"/>
          </w:tblCellMar>
        </w:tblPrEx>
        <w:tc>
          <w:tcPr>
            <w:tcW w:w="2830" w:type="dxa"/>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4">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Papildomo garantinio  termino balų apskaičiavimas</w:t>
            </w:r>
          </w:p>
        </w:tc>
        <w:tc>
          <w:tcPr>
            <w:tcW w:w="3505"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5">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0 mėnesių</w:t>
            </w:r>
          </w:p>
        </w:tc>
        <w:tc>
          <w:tcPr>
            <w:tcW w:w="329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6">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0</w:t>
            </w:r>
          </w:p>
        </w:tc>
      </w:tr>
      <w:tr w14:paraId="43EE8928">
        <w:tblPrEx>
          <w:tblCellMar>
            <w:top w:w="0" w:type="dxa"/>
            <w:left w:w="10" w:type="dxa"/>
            <w:bottom w:w="0" w:type="dxa"/>
            <w:right w:w="10" w:type="dxa"/>
          </w:tblCellMar>
        </w:tblPrEx>
        <w:tc>
          <w:tcPr>
            <w:tcW w:w="2830" w:type="dxa"/>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7">
            <w:pPr>
              <w:widowControl w:val="0"/>
              <w:spacing w:line="276" w:lineRule="auto"/>
              <w:rPr>
                <w:color w:val="000000"/>
                <w:sz w:val="22"/>
                <w:szCs w:val="22"/>
              </w:rPr>
            </w:pPr>
          </w:p>
        </w:tc>
        <w:tc>
          <w:tcPr>
            <w:tcW w:w="3505"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8">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 xml:space="preserve"> 6 mėnesių</w:t>
            </w:r>
          </w:p>
        </w:tc>
        <w:tc>
          <w:tcPr>
            <w:tcW w:w="329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9">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10</w:t>
            </w:r>
          </w:p>
        </w:tc>
      </w:tr>
      <w:tr w14:paraId="31109761">
        <w:tblPrEx>
          <w:tblCellMar>
            <w:top w:w="0" w:type="dxa"/>
            <w:left w:w="10" w:type="dxa"/>
            <w:bottom w:w="0" w:type="dxa"/>
            <w:right w:w="10" w:type="dxa"/>
          </w:tblCellMar>
        </w:tblPrEx>
        <w:trPr>
          <w:trHeight w:val="516" w:hRule="atLeast"/>
        </w:trPr>
        <w:tc>
          <w:tcPr>
            <w:tcW w:w="2830" w:type="dxa"/>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A">
            <w:pPr>
              <w:widowControl w:val="0"/>
              <w:spacing w:line="276" w:lineRule="auto"/>
              <w:rPr>
                <w:color w:val="000000"/>
                <w:sz w:val="22"/>
                <w:szCs w:val="22"/>
              </w:rPr>
            </w:pPr>
          </w:p>
        </w:tc>
        <w:tc>
          <w:tcPr>
            <w:tcW w:w="3505"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B">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 xml:space="preserve"> 12 mėnesių</w:t>
            </w:r>
          </w:p>
        </w:tc>
        <w:tc>
          <w:tcPr>
            <w:tcW w:w="3299" w:type="dxa"/>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tcPr>
          <w:p w14:paraId="000004DC">
            <w:pPr>
              <w:pBdr>
                <w:top w:val="none" w:color="000000" w:sz="0" w:space="0"/>
                <w:left w:val="none" w:color="000000" w:sz="0" w:space="0"/>
                <w:bottom w:val="none" w:color="000000" w:sz="0" w:space="0"/>
                <w:right w:val="none" w:color="000000" w:sz="0" w:space="0"/>
                <w:between w:val="none" w:color="000000" w:sz="0" w:space="0"/>
              </w:pBdr>
              <w:ind w:firstLine="720"/>
              <w:jc w:val="both"/>
              <w:rPr>
                <w:color w:val="000000"/>
                <w:sz w:val="22"/>
                <w:szCs w:val="22"/>
              </w:rPr>
            </w:pPr>
            <w:r>
              <w:rPr>
                <w:color w:val="000000"/>
                <w:sz w:val="22"/>
                <w:szCs w:val="22"/>
              </w:rPr>
              <w:t>20</w:t>
            </w:r>
          </w:p>
        </w:tc>
      </w:tr>
    </w:tbl>
    <w:p w14:paraId="000004DD">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
          <w:color w:val="000000"/>
        </w:rPr>
      </w:pPr>
    </w:p>
    <w:p w14:paraId="000004DE">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i/>
          <w:color w:val="000000"/>
        </w:rPr>
      </w:pPr>
      <w:r>
        <w:rPr>
          <w:i/>
          <w:color w:val="000000"/>
        </w:rPr>
        <w:t>Pasiūlyme nurodžius abu papildomos garantijos rodiklius bus vertinamas didžiausias rodiklis. Maksimaliai galima gauti pagal šį kriterijų 20 balų. Neįrašius papilodomo garantinio mėnesiais nuo privalomo termino, t.y. nepasiūlius, pagal taisykles bus sksiriama 0 balų.</w:t>
      </w:r>
    </w:p>
    <w:p w14:paraId="000004DF">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
          <w:color w:val="000000"/>
        </w:rPr>
      </w:pPr>
    </w:p>
    <w:p w14:paraId="000004E0">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
          <w:color w:val="000000"/>
        </w:rPr>
      </w:pPr>
    </w:p>
    <w:p w14:paraId="000004E1">
      <w:pPr>
        <w:widowControl w:val="0"/>
        <w:pBdr>
          <w:top w:val="none" w:color="000000" w:sz="0" w:space="0"/>
          <w:left w:val="none" w:color="000000" w:sz="0" w:space="0"/>
          <w:bottom w:val="none" w:color="000000" w:sz="0" w:space="0"/>
          <w:right w:val="none" w:color="000000" w:sz="0" w:space="0"/>
          <w:between w:val="none" w:color="000000" w:sz="0" w:space="0"/>
        </w:pBdr>
        <w:tabs>
          <w:tab w:val="left" w:pos="720"/>
          <w:tab w:val="left" w:pos="8010"/>
        </w:tabs>
        <w:jc w:val="both"/>
        <w:rPr>
          <w:b/>
          <w:color w:val="000000"/>
        </w:rPr>
      </w:pPr>
    </w:p>
    <w:p w14:paraId="000004E3">
      <w:pPr>
        <w:numPr>
          <w:ilvl w:val="0"/>
          <w:numId w:val="7"/>
        </w:numPr>
        <w:pBdr>
          <w:top w:val="none" w:color="000000" w:sz="0" w:space="0"/>
          <w:left w:val="none" w:color="000000" w:sz="0" w:space="0"/>
          <w:bottom w:val="none" w:color="000000" w:sz="0" w:space="0"/>
          <w:right w:val="none" w:color="000000" w:sz="0" w:space="0"/>
          <w:between w:val="none" w:color="000000" w:sz="0" w:space="0"/>
        </w:pBdr>
        <w:shd w:val="clear" w:color="auto" w:fill="FFFFFF"/>
        <w:tabs>
          <w:tab w:val="left" w:pos="709"/>
        </w:tabs>
        <w:jc w:val="both"/>
      </w:pPr>
      <w:r>
        <w:rPr>
          <w:color w:val="000000"/>
          <w:u w:val="single"/>
        </w:rPr>
        <w:t xml:space="preserve">Atlikus balų apskaičiavimą, bet pasitraukus vienam iš tiekėjų (ar pašalinus) iš pirkimo, nebus perskaičiuojami dalyviams jau suteikti balai. </w:t>
      </w:r>
    </w:p>
    <w:p w14:paraId="000004E4">
      <w:pPr>
        <w:numPr>
          <w:ilvl w:val="0"/>
          <w:numId w:val="7"/>
        </w:numPr>
        <w:pBdr>
          <w:top w:val="none" w:color="000000" w:sz="0" w:space="0"/>
          <w:left w:val="none" w:color="000000" w:sz="0" w:space="0"/>
          <w:bottom w:val="none" w:color="000000" w:sz="0" w:space="0"/>
          <w:right w:val="none" w:color="000000" w:sz="0" w:space="0"/>
          <w:between w:val="none" w:color="000000" w:sz="0" w:space="0"/>
        </w:pBdr>
        <w:jc w:val="both"/>
      </w:pPr>
      <w:r>
        <w:rPr>
          <w:b/>
          <w:color w:val="000000"/>
          <w:u w:val="single"/>
        </w:rPr>
        <w:t>Pildant pasiūlymą, rekomenduojame vadovautis</w:t>
      </w:r>
      <w:r>
        <w:rPr>
          <w:i/>
          <w:color w:val="000000"/>
        </w:rPr>
        <w:t xml:space="preserve">: </w:t>
      </w:r>
      <w:r>
        <w:rPr>
          <w:color w:val="000000"/>
        </w:rPr>
        <w:t xml:space="preserve">Viešųjų pirkimų tarnybos rekomendacijomis </w:t>
      </w:r>
      <w:r>
        <w:fldChar w:fldCharType="begin"/>
      </w:r>
      <w:r>
        <w:instrText xml:space="preserve"> HYPERLINK "http://www.vpt.lt" \h </w:instrText>
      </w:r>
      <w:r>
        <w:fldChar w:fldCharType="separate"/>
      </w:r>
      <w:r>
        <w:rPr>
          <w:color w:val="000000"/>
          <w:u w:val="single"/>
        </w:rPr>
        <w:t>www.vpt.lt</w:t>
      </w:r>
      <w:r>
        <w:rPr>
          <w:color w:val="000000"/>
          <w:u w:val="single"/>
        </w:rPr>
        <w:fldChar w:fldCharType="end"/>
      </w:r>
    </w:p>
    <w:p w14:paraId="000004E5">
      <w:pPr>
        <w:ind w:left="720"/>
        <w:rPr>
          <w:color w:val="7030A0"/>
        </w:rPr>
      </w:pPr>
    </w:p>
    <w:p w14:paraId="000004E6">
      <w:pPr>
        <w:pBdr>
          <w:top w:val="none" w:color="000000" w:sz="0" w:space="0"/>
          <w:left w:val="none" w:color="000000" w:sz="0" w:space="0"/>
          <w:bottom w:val="none" w:color="000000" w:sz="0" w:space="0"/>
          <w:right w:val="none" w:color="000000" w:sz="0" w:space="0"/>
          <w:between w:val="none" w:color="000000" w:sz="0" w:space="0"/>
        </w:pBdr>
        <w:ind w:left="360"/>
        <w:jc w:val="both"/>
        <w:rPr>
          <w:color w:val="7030A0"/>
        </w:rPr>
      </w:pPr>
    </w:p>
    <w:p w14:paraId="000004E7">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__________</w:t>
      </w:r>
    </w:p>
    <w:p w14:paraId="000004E8">
      <w:pPr>
        <w:keepNext/>
        <w:keepLines/>
        <w:pageBreakBefore/>
        <w:pBdr>
          <w:top w:val="none" w:color="000000" w:sz="0" w:space="0"/>
          <w:left w:val="none" w:color="000000" w:sz="0" w:space="0"/>
          <w:bottom w:val="none" w:color="000000" w:sz="0" w:space="0"/>
          <w:right w:val="none" w:color="000000" w:sz="0" w:space="0"/>
          <w:between w:val="none" w:color="000000" w:sz="0" w:space="0"/>
        </w:pBdr>
        <w:spacing w:after="80"/>
        <w:jc w:val="right"/>
        <w:rPr>
          <w:color w:val="000000"/>
        </w:rPr>
      </w:pPr>
      <w:bookmarkStart w:id="26" w:name="_heading=h.5tvzh6u4iggt" w:colFirst="0" w:colLast="0"/>
      <w:bookmarkEnd w:id="26"/>
      <w:r>
        <w:rPr>
          <w:color w:val="000000"/>
        </w:rPr>
        <w:t>Pirkimo sąlygų 8 priedas „Tiekėjo deklaracija dėl atitikties Reglamento nuostatoms juridiniam asmeniui“</w:t>
      </w:r>
    </w:p>
    <w:p w14:paraId="000004E9">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4EA">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Herbas arba prekių ženklas</w:t>
      </w:r>
    </w:p>
    <w:p w14:paraId="000004EB">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(Tiekėjo pavadinimas)</w:t>
      </w:r>
    </w:p>
    <w:p w14:paraId="000004EC">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00004ED">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4EE">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__________________________</w:t>
      </w:r>
    </w:p>
    <w:p w14:paraId="000004EF">
      <w:pPr>
        <w:pBdr>
          <w:top w:val="none" w:color="000000" w:sz="0" w:space="0"/>
          <w:left w:val="none" w:color="000000" w:sz="0" w:space="0"/>
          <w:bottom w:val="none" w:color="000000" w:sz="0" w:space="0"/>
          <w:right w:val="none" w:color="000000" w:sz="0" w:space="0"/>
          <w:between w:val="none" w:color="000000" w:sz="0" w:space="0"/>
        </w:pBdr>
        <w:tabs>
          <w:tab w:val="center" w:pos="2520"/>
        </w:tabs>
        <w:rPr>
          <w:i/>
          <w:color w:val="000000"/>
        </w:rPr>
      </w:pPr>
      <w:r>
        <w:rPr>
          <w:i/>
          <w:color w:val="000000"/>
        </w:rPr>
        <w:t>(Adresatas (perkančioji organizacija))</w:t>
      </w:r>
    </w:p>
    <w:p w14:paraId="000004F0">
      <w:pPr>
        <w:jc w:val="center"/>
        <w:rPr>
          <w:b/>
          <w:smallCaps/>
          <w:color w:val="000000"/>
        </w:rPr>
      </w:pPr>
    </w:p>
    <w:p w14:paraId="000004F1">
      <w:pPr>
        <w:jc w:val="center"/>
        <w:rPr>
          <w:b/>
          <w:smallCaps/>
          <w:color w:val="000000"/>
        </w:rPr>
      </w:pPr>
    </w:p>
    <w:p w14:paraId="000004F2">
      <w:pPr>
        <w:jc w:val="center"/>
      </w:pPr>
      <w:r>
        <w:rPr>
          <w:b/>
          <w:smallCaps/>
          <w:color w:val="000000"/>
        </w:rPr>
        <w:t>TIEKĖJO/ SUBTIEKĖJO  DEKLARACIJA</w:t>
      </w:r>
    </w:p>
    <w:p w14:paraId="000004F3">
      <w:pPr>
        <w:shd w:val="clear" w:color="auto" w:fill="FFFFFF"/>
        <w:jc w:val="center"/>
        <w:rPr>
          <w:sz w:val="21"/>
          <w:szCs w:val="21"/>
        </w:rPr>
      </w:pPr>
      <w:r>
        <w:rPr>
          <w:sz w:val="21"/>
          <w:szCs w:val="21"/>
        </w:rPr>
        <w:t> </w:t>
      </w:r>
    </w:p>
    <w:p w14:paraId="000004F4">
      <w:pPr>
        <w:jc w:val="center"/>
        <w:rPr>
          <w:sz w:val="21"/>
          <w:szCs w:val="21"/>
        </w:rPr>
      </w:pPr>
      <w:r>
        <w:rPr>
          <w:color w:val="000000"/>
          <w:sz w:val="21"/>
          <w:szCs w:val="21"/>
        </w:rPr>
        <w:t>__________________</w:t>
      </w:r>
    </w:p>
    <w:p w14:paraId="000004F5">
      <w:pPr>
        <w:jc w:val="center"/>
        <w:rPr>
          <w:sz w:val="18"/>
          <w:szCs w:val="18"/>
        </w:rPr>
      </w:pPr>
      <w:r>
        <w:rPr>
          <w:color w:val="000000"/>
          <w:sz w:val="18"/>
          <w:szCs w:val="18"/>
        </w:rPr>
        <w:t>(Data)</w:t>
      </w:r>
    </w:p>
    <w:p w14:paraId="000004F6">
      <w:pPr>
        <w:rPr>
          <w:sz w:val="21"/>
          <w:szCs w:val="21"/>
        </w:rPr>
      </w:pPr>
    </w:p>
    <w:p w14:paraId="000004F7">
      <w:pPr>
        <w:spacing w:after="150"/>
        <w:jc w:val="both"/>
        <w:rPr>
          <w:color w:val="000000"/>
        </w:rPr>
      </w:pPr>
      <w:r>
        <w:rPr>
          <w:color w:val="000000"/>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Pr>
          <w:rFonts w:ascii="Arial" w:hAnsi="Arial" w:eastAsia="Arial" w:cs="Arial"/>
          <w:color w:val="000000"/>
          <w:sz w:val="21"/>
          <w:szCs w:val="21"/>
        </w:rPr>
        <w:t xml:space="preserve"> </w:t>
      </w:r>
      <w:r>
        <w:rPr>
          <w:color w:val="000000"/>
        </w:rPr>
        <w:t>nustatytas ribas t.y.:</w:t>
      </w:r>
    </w:p>
    <w:p w14:paraId="000004F8">
      <w:pPr>
        <w:spacing w:after="150"/>
        <w:jc w:val="both"/>
        <w:rPr>
          <w:color w:val="000000"/>
        </w:rPr>
      </w:pPr>
      <w:r>
        <w:rPr>
          <w:color w:val="000000"/>
        </w:rPr>
        <w:t>(a) mano atstovaujamas tiekėjas/subtiekėjas (ir nė vienas iš tiekėjų grupės narių) nėra Rusijos pilietis arba Rusijoje įsisteigęs fizinis ar juridinis asmuo, subjektas ar įstaiga;</w:t>
      </w:r>
    </w:p>
    <w:p w14:paraId="000004F9">
      <w:pPr>
        <w:spacing w:after="150"/>
        <w:jc w:val="both"/>
        <w:rPr>
          <w:color w:val="000000"/>
        </w:rPr>
      </w:pPr>
      <w:r>
        <w:rPr>
          <w:color w:val="000000"/>
        </w:rPr>
        <w:t>(b) mano atstovaujamas tiekėjas/subtiekėjas (ir nė vienas iš tiekėjų grupės narių) nėra juridinis asmuo, subjektas ar įstaiga, kurio nuosavybės teisės tiesiogiai ar netiesiogiai daugiau kaip 50 % priklauso šios dalies a) punkte nurodytam subjektui;</w:t>
      </w:r>
    </w:p>
    <w:p w14:paraId="000004FA">
      <w:pPr>
        <w:spacing w:after="150"/>
        <w:jc w:val="both"/>
        <w:rPr>
          <w:color w:val="000000"/>
        </w:rPr>
      </w:pPr>
      <w:r>
        <w:rPr>
          <w:color w:val="000000"/>
        </w:rPr>
        <w:t>(c) nei aš, nei mano atstovaujama bendrovė nėra fizinis ar juridinis asmuo, subjektas ar įstaiga, veikianti a) arba b) punkte nurodyto subjekto vardu ar jo nurodymu;</w:t>
      </w:r>
    </w:p>
    <w:p w14:paraId="000004FB">
      <w:pPr>
        <w:spacing w:after="150"/>
        <w:jc w:val="both"/>
        <w:rPr>
          <w:color w:val="000000"/>
        </w:rPr>
      </w:pPr>
      <w:r>
        <w:rPr>
          <w:color w:val="000000"/>
        </w:rPr>
        <w:t>(d) a)-c) punktuose išvardyti subjektai nedalyvauja subtiekėjais, tiekėjais ar subjektais, kurių pajėgumais remiasi mano atstovaujamas tiekėjas, tais atvejais kai jiems tenka daugiau kaip 10 % sutarties vertės.</w:t>
      </w:r>
    </w:p>
    <w:p w14:paraId="000004FC">
      <w:pPr>
        <w:jc w:val="both"/>
        <w:rPr>
          <w:color w:val="000000"/>
          <w:highlight w:val="white"/>
        </w:rPr>
      </w:pPr>
      <w:r>
        <w:rPr>
          <w:color w:val="000000"/>
        </w:rPr>
        <w:t xml:space="preserve">Patvirtinu, kad tiekėjui/subtiekėjui kuriuos esu pasitelkęs ar pasitelksiu ateityje, </w:t>
      </w:r>
      <w:r>
        <w:t xml:space="preserve">ūkio subjektams, kurių pajėgumais remiuosi ar (ir) remsiuosi, prekių (ir jų sudedamųjų dalių) gamintojams </w:t>
      </w:r>
      <w:r>
        <w:rPr>
          <w:color w:val="000000"/>
        </w:rPr>
        <w:t>netaikomos</w:t>
      </w:r>
      <w:r>
        <w:t xml:space="preserve"> Lietuvos Respublikoje įgyvendinamos tarptautinės sankcijos, kaip tai apibrėžta Lietuvos Respublikos tarptautinių sankcijų įstatyme.</w:t>
      </w:r>
    </w:p>
    <w:p w14:paraId="000004FD">
      <w:pPr>
        <w:tabs>
          <w:tab w:val="left" w:pos="284"/>
          <w:tab w:val="left" w:pos="426"/>
        </w:tabs>
        <w:spacing w:after="150"/>
        <w:jc w:val="both"/>
        <w:rPr>
          <w:color w:val="000000"/>
        </w:rPr>
      </w:pPr>
    </w:p>
    <w:p w14:paraId="000004FE">
      <w:pPr>
        <w:tabs>
          <w:tab w:val="left" w:pos="284"/>
          <w:tab w:val="left" w:pos="426"/>
        </w:tabs>
        <w:spacing w:after="150"/>
        <w:jc w:val="both"/>
        <w:rPr>
          <w:color w:val="000000"/>
        </w:rPr>
      </w:pPr>
      <w:r>
        <w:rPr>
          <w:color w:val="000000"/>
        </w:rPr>
        <w:t xml:space="preserve">Deklaruojamoms aplinkybėms pasikeitus, įsipareigoju nedelsiant apie tai informuoti Pirkimo vykdytoją. </w:t>
      </w:r>
    </w:p>
    <w:tbl>
      <w:tblPr>
        <w:tblStyle w:val="148"/>
        <w:tblW w:w="3969" w:type="dxa"/>
        <w:jc w:val="center"/>
        <w:tblLayout w:type="fixed"/>
        <w:tblCellMar>
          <w:top w:w="15" w:type="dxa"/>
          <w:left w:w="15" w:type="dxa"/>
          <w:bottom w:w="15" w:type="dxa"/>
          <w:right w:w="15" w:type="dxa"/>
        </w:tblCellMar>
      </w:tblPr>
      <w:tblGrid>
        <w:gridCol w:w="862"/>
        <w:gridCol w:w="236"/>
        <w:gridCol w:w="236"/>
        <w:gridCol w:w="236"/>
        <w:gridCol w:w="2163"/>
        <w:gridCol w:w="236"/>
      </w:tblGrid>
      <w:tr w14:paraId="648C2187">
        <w:tblPrEx>
          <w:tblCellMar>
            <w:top w:w="15" w:type="dxa"/>
            <w:left w:w="15" w:type="dxa"/>
            <w:bottom w:w="15" w:type="dxa"/>
            <w:right w:w="15" w:type="dxa"/>
          </w:tblCellMar>
        </w:tblPrEx>
        <w:trPr>
          <w:jc w:val="center"/>
        </w:trPr>
        <w:tc>
          <w:tcPr>
            <w:tcW w:w="3970" w:type="dxa"/>
            <w:gridSpan w:val="6"/>
            <w:tcMar>
              <w:top w:w="0" w:type="dxa"/>
              <w:left w:w="108" w:type="dxa"/>
              <w:bottom w:w="0" w:type="dxa"/>
              <w:right w:w="108" w:type="dxa"/>
            </w:tcMar>
          </w:tcPr>
          <w:p w14:paraId="000004FF">
            <w:pPr>
              <w:tabs>
                <w:tab w:val="left" w:pos="284"/>
                <w:tab w:val="left" w:pos="426"/>
              </w:tabs>
              <w:spacing w:after="150"/>
              <w:jc w:val="both"/>
              <w:rPr>
                <w:color w:val="000000"/>
                <w:sz w:val="21"/>
                <w:szCs w:val="21"/>
              </w:rPr>
            </w:pPr>
          </w:p>
        </w:tc>
      </w:tr>
      <w:tr w14:paraId="6EEF2835">
        <w:tblPrEx>
          <w:tblCellMar>
            <w:top w:w="15" w:type="dxa"/>
            <w:left w:w="15" w:type="dxa"/>
            <w:bottom w:w="15" w:type="dxa"/>
            <w:right w:w="15" w:type="dxa"/>
          </w:tblCellMar>
        </w:tblPrEx>
        <w:trPr>
          <w:trHeight w:val="285" w:hRule="atLeast"/>
          <w:jc w:val="center"/>
        </w:trPr>
        <w:tc>
          <w:tcPr>
            <w:tcW w:w="876" w:type="dxa"/>
            <w:tcBorders>
              <w:bottom w:val="single" w:color="000000" w:sz="4" w:space="0"/>
            </w:tcBorders>
            <w:tcMar>
              <w:top w:w="0" w:type="dxa"/>
              <w:left w:w="108" w:type="dxa"/>
              <w:bottom w:w="0" w:type="dxa"/>
              <w:right w:w="108" w:type="dxa"/>
            </w:tcMar>
          </w:tcPr>
          <w:p w14:paraId="00000505">
            <w:pPr>
              <w:rPr>
                <w:sz w:val="21"/>
                <w:szCs w:val="21"/>
              </w:rPr>
            </w:pPr>
          </w:p>
        </w:tc>
        <w:tc>
          <w:tcPr>
            <w:tcW w:w="222" w:type="dxa"/>
            <w:tcMar>
              <w:top w:w="0" w:type="dxa"/>
              <w:left w:w="108" w:type="dxa"/>
              <w:bottom w:w="0" w:type="dxa"/>
              <w:right w:w="108" w:type="dxa"/>
            </w:tcMar>
          </w:tcPr>
          <w:p w14:paraId="00000506">
            <w:pPr>
              <w:rPr>
                <w:sz w:val="21"/>
                <w:szCs w:val="21"/>
              </w:rPr>
            </w:pPr>
          </w:p>
        </w:tc>
        <w:tc>
          <w:tcPr>
            <w:tcW w:w="222" w:type="dxa"/>
            <w:tcMar>
              <w:top w:w="0" w:type="dxa"/>
              <w:left w:w="108" w:type="dxa"/>
              <w:bottom w:w="0" w:type="dxa"/>
              <w:right w:w="108" w:type="dxa"/>
            </w:tcMar>
          </w:tcPr>
          <w:p w14:paraId="00000507">
            <w:pPr>
              <w:rPr>
                <w:sz w:val="21"/>
                <w:szCs w:val="21"/>
              </w:rPr>
            </w:pPr>
          </w:p>
        </w:tc>
        <w:tc>
          <w:tcPr>
            <w:tcW w:w="222" w:type="dxa"/>
            <w:tcMar>
              <w:top w:w="0" w:type="dxa"/>
              <w:left w:w="108" w:type="dxa"/>
              <w:bottom w:w="0" w:type="dxa"/>
              <w:right w:w="108" w:type="dxa"/>
            </w:tcMar>
          </w:tcPr>
          <w:p w14:paraId="00000508">
            <w:pPr>
              <w:rPr>
                <w:sz w:val="21"/>
                <w:szCs w:val="21"/>
              </w:rPr>
            </w:pPr>
          </w:p>
        </w:tc>
        <w:tc>
          <w:tcPr>
            <w:tcW w:w="2206" w:type="dxa"/>
            <w:tcBorders>
              <w:bottom w:val="single" w:color="000000" w:sz="4" w:space="0"/>
            </w:tcBorders>
            <w:tcMar>
              <w:top w:w="0" w:type="dxa"/>
              <w:left w:w="108" w:type="dxa"/>
              <w:bottom w:w="0" w:type="dxa"/>
              <w:right w:w="108" w:type="dxa"/>
            </w:tcMar>
          </w:tcPr>
          <w:p w14:paraId="00000509">
            <w:pPr>
              <w:rPr>
                <w:sz w:val="21"/>
                <w:szCs w:val="21"/>
              </w:rPr>
            </w:pPr>
          </w:p>
        </w:tc>
        <w:tc>
          <w:tcPr>
            <w:tcW w:w="222" w:type="dxa"/>
            <w:tcMar>
              <w:top w:w="0" w:type="dxa"/>
              <w:left w:w="108" w:type="dxa"/>
              <w:bottom w:w="0" w:type="dxa"/>
              <w:right w:w="108" w:type="dxa"/>
            </w:tcMar>
          </w:tcPr>
          <w:p w14:paraId="0000050A">
            <w:pPr>
              <w:rPr>
                <w:sz w:val="21"/>
                <w:szCs w:val="21"/>
              </w:rPr>
            </w:pPr>
          </w:p>
        </w:tc>
      </w:tr>
      <w:tr w14:paraId="67E6763B">
        <w:tblPrEx>
          <w:tblCellMar>
            <w:top w:w="15" w:type="dxa"/>
            <w:left w:w="15" w:type="dxa"/>
            <w:bottom w:w="15" w:type="dxa"/>
            <w:right w:w="15" w:type="dxa"/>
          </w:tblCellMar>
        </w:tblPrEx>
        <w:trPr>
          <w:trHeight w:val="186" w:hRule="atLeast"/>
          <w:jc w:val="center"/>
        </w:trPr>
        <w:tc>
          <w:tcPr>
            <w:tcW w:w="876" w:type="dxa"/>
            <w:tcBorders>
              <w:top w:val="single" w:color="000000" w:sz="4" w:space="0"/>
            </w:tcBorders>
            <w:tcMar>
              <w:top w:w="0" w:type="dxa"/>
              <w:left w:w="108" w:type="dxa"/>
              <w:bottom w:w="0" w:type="dxa"/>
              <w:right w:w="108" w:type="dxa"/>
            </w:tcMar>
          </w:tcPr>
          <w:p w14:paraId="0000050B">
            <w:pPr>
              <w:spacing w:after="150"/>
              <w:rPr>
                <w:sz w:val="18"/>
                <w:szCs w:val="18"/>
              </w:rPr>
            </w:pPr>
            <w:r>
              <w:rPr>
                <w:color w:val="000000"/>
                <w:sz w:val="18"/>
                <w:szCs w:val="18"/>
              </w:rPr>
              <w:t>(Parašas)</w:t>
            </w:r>
          </w:p>
        </w:tc>
        <w:tc>
          <w:tcPr>
            <w:tcW w:w="222" w:type="dxa"/>
            <w:tcMar>
              <w:top w:w="0" w:type="dxa"/>
              <w:left w:w="108" w:type="dxa"/>
              <w:bottom w:w="0" w:type="dxa"/>
              <w:right w:w="108" w:type="dxa"/>
            </w:tcMar>
          </w:tcPr>
          <w:p w14:paraId="0000050C">
            <w:pPr>
              <w:rPr>
                <w:sz w:val="18"/>
                <w:szCs w:val="18"/>
              </w:rPr>
            </w:pPr>
          </w:p>
        </w:tc>
        <w:tc>
          <w:tcPr>
            <w:tcW w:w="222" w:type="dxa"/>
            <w:tcMar>
              <w:top w:w="0" w:type="dxa"/>
              <w:left w:w="108" w:type="dxa"/>
              <w:bottom w:w="0" w:type="dxa"/>
              <w:right w:w="108" w:type="dxa"/>
            </w:tcMar>
          </w:tcPr>
          <w:p w14:paraId="0000050D">
            <w:pPr>
              <w:rPr>
                <w:sz w:val="18"/>
                <w:szCs w:val="18"/>
              </w:rPr>
            </w:pPr>
          </w:p>
        </w:tc>
        <w:tc>
          <w:tcPr>
            <w:tcW w:w="222" w:type="dxa"/>
            <w:tcMar>
              <w:top w:w="0" w:type="dxa"/>
              <w:left w:w="108" w:type="dxa"/>
              <w:bottom w:w="0" w:type="dxa"/>
              <w:right w:w="108" w:type="dxa"/>
            </w:tcMar>
          </w:tcPr>
          <w:p w14:paraId="0000050E">
            <w:pPr>
              <w:rPr>
                <w:sz w:val="18"/>
                <w:szCs w:val="18"/>
              </w:rPr>
            </w:pPr>
          </w:p>
        </w:tc>
        <w:tc>
          <w:tcPr>
            <w:tcW w:w="2206" w:type="dxa"/>
            <w:tcBorders>
              <w:top w:val="single" w:color="000000" w:sz="4" w:space="0"/>
            </w:tcBorders>
            <w:tcMar>
              <w:top w:w="0" w:type="dxa"/>
              <w:left w:w="108" w:type="dxa"/>
              <w:bottom w:w="0" w:type="dxa"/>
              <w:right w:w="108" w:type="dxa"/>
            </w:tcMar>
          </w:tcPr>
          <w:p w14:paraId="0000050F">
            <w:pPr>
              <w:spacing w:after="150"/>
              <w:rPr>
                <w:sz w:val="18"/>
                <w:szCs w:val="18"/>
              </w:rPr>
            </w:pPr>
            <w:r>
              <w:rPr>
                <w:color w:val="000000"/>
                <w:sz w:val="18"/>
                <w:szCs w:val="18"/>
              </w:rPr>
              <w:t>(Vardas, pavardė, pareigos)</w:t>
            </w:r>
          </w:p>
        </w:tc>
        <w:tc>
          <w:tcPr>
            <w:tcW w:w="222" w:type="dxa"/>
            <w:tcMar>
              <w:top w:w="0" w:type="dxa"/>
              <w:left w:w="108" w:type="dxa"/>
              <w:bottom w:w="0" w:type="dxa"/>
              <w:right w:w="108" w:type="dxa"/>
            </w:tcMar>
          </w:tcPr>
          <w:p w14:paraId="00000510">
            <w:pPr>
              <w:rPr>
                <w:sz w:val="18"/>
                <w:szCs w:val="18"/>
              </w:rPr>
            </w:pPr>
          </w:p>
        </w:tc>
      </w:tr>
    </w:tbl>
    <w:p w14:paraId="00000511"/>
    <w:p w14:paraId="00000512">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p>
    <w:p w14:paraId="00000513">
      <w:pPr>
        <w:pageBreakBefore/>
        <w:pBdr>
          <w:top w:val="none" w:color="000000" w:sz="0" w:space="0"/>
          <w:left w:val="none" w:color="000000" w:sz="0" w:space="0"/>
          <w:bottom w:val="none" w:color="000000" w:sz="0" w:space="0"/>
          <w:right w:val="none" w:color="000000" w:sz="0" w:space="0"/>
          <w:between w:val="none" w:color="000000" w:sz="0" w:space="0"/>
        </w:pBdr>
        <w:rPr>
          <w:color w:val="000000"/>
        </w:rPr>
      </w:pPr>
    </w:p>
    <w:p w14:paraId="00000514">
      <w:pPr>
        <w:keepNext/>
        <w:keepLines/>
        <w:pBdr>
          <w:top w:val="none" w:color="000000" w:sz="0" w:space="0"/>
          <w:left w:val="none" w:color="000000" w:sz="0" w:space="0"/>
          <w:bottom w:val="none" w:color="000000" w:sz="0" w:space="0"/>
          <w:right w:val="none" w:color="000000" w:sz="0" w:space="0"/>
          <w:between w:val="none" w:color="000000" w:sz="0" w:space="0"/>
        </w:pBdr>
        <w:spacing w:after="80"/>
        <w:jc w:val="right"/>
        <w:rPr>
          <w:color w:val="000000"/>
        </w:rPr>
      </w:pPr>
      <w:bookmarkStart w:id="27" w:name="_heading=h.hv24za82lja6" w:colFirst="0" w:colLast="0"/>
      <w:bookmarkEnd w:id="27"/>
      <w:sdt>
        <w:sdtPr>
          <w:tag w:val="goog_rdk_3"/>
          <w:id w:val="651084952"/>
        </w:sdtPr>
        <w:sdtContent/>
      </w:sdt>
      <w:r>
        <w:rPr>
          <w:color w:val="000000"/>
        </w:rPr>
        <w:t>Pirkimo sąlygų 9 priedas „Tiekėjo deklaracija dėl atitikties Reglamento nuostatoms fiziniam asmeniui“</w:t>
      </w:r>
    </w:p>
    <w:p w14:paraId="00000515">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516">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517">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color w:val="000000"/>
        </w:rPr>
        <w:t>(Tiekėjo pavadinimas)</w:t>
      </w:r>
    </w:p>
    <w:p w14:paraId="00000518">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(Fizinio asmens vardas, pavardė, kontaktinė informacija, registro, kuriame kaupiami ir saugomi duomenys apie tiekėją, pavadinimas)</w:t>
      </w:r>
    </w:p>
    <w:p w14:paraId="00000519">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51A">
      <w:pPr>
        <w:jc w:val="center"/>
        <w:rPr>
          <w:b/>
          <w:smallCaps/>
          <w:color w:val="000000"/>
        </w:rPr>
      </w:pPr>
    </w:p>
    <w:p w14:paraId="0000051B">
      <w:pPr>
        <w:jc w:val="center"/>
        <w:rPr>
          <w:b/>
          <w:smallCaps/>
          <w:color w:val="000000"/>
        </w:rPr>
      </w:pPr>
    </w:p>
    <w:p w14:paraId="0000051C">
      <w:pPr>
        <w:jc w:val="center"/>
      </w:pPr>
      <w:r>
        <w:rPr>
          <w:b/>
          <w:smallCaps/>
          <w:color w:val="000000"/>
        </w:rPr>
        <w:t>TIEKĖJO/ SUBTIEKĖJO  DEKLARACIJA</w:t>
      </w:r>
    </w:p>
    <w:p w14:paraId="0000051D">
      <w:pPr>
        <w:shd w:val="clear" w:color="auto" w:fill="FFFFFF"/>
        <w:jc w:val="center"/>
        <w:rPr>
          <w:sz w:val="21"/>
          <w:szCs w:val="21"/>
        </w:rPr>
      </w:pPr>
      <w:r>
        <w:rPr>
          <w:sz w:val="21"/>
          <w:szCs w:val="21"/>
        </w:rPr>
        <w:t> </w:t>
      </w:r>
    </w:p>
    <w:p w14:paraId="0000051E">
      <w:pPr>
        <w:jc w:val="center"/>
        <w:rPr>
          <w:sz w:val="21"/>
          <w:szCs w:val="21"/>
        </w:rPr>
      </w:pPr>
      <w:r>
        <w:rPr>
          <w:color w:val="000000"/>
          <w:sz w:val="21"/>
          <w:szCs w:val="21"/>
        </w:rPr>
        <w:t>__________________</w:t>
      </w:r>
    </w:p>
    <w:p w14:paraId="0000051F">
      <w:pPr>
        <w:jc w:val="center"/>
        <w:rPr>
          <w:sz w:val="18"/>
          <w:szCs w:val="18"/>
        </w:rPr>
      </w:pPr>
      <w:r>
        <w:rPr>
          <w:color w:val="000000"/>
          <w:sz w:val="18"/>
          <w:szCs w:val="18"/>
        </w:rPr>
        <w:t>(Data)</w:t>
      </w:r>
    </w:p>
    <w:p w14:paraId="00000520">
      <w:pPr>
        <w:rPr>
          <w:sz w:val="21"/>
          <w:szCs w:val="21"/>
        </w:rPr>
      </w:pPr>
    </w:p>
    <w:p w14:paraId="00000521">
      <w:pPr>
        <w:spacing w:after="150"/>
        <w:jc w:val="both"/>
        <w:rPr>
          <w:color w:val="000000"/>
        </w:rPr>
      </w:pPr>
      <w:r>
        <w:rPr>
          <w:color w:val="000000"/>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w:t>
      </w:r>
      <w:r>
        <w:rPr>
          <w:rFonts w:ascii="Arial" w:hAnsi="Arial" w:eastAsia="Arial" w:cs="Arial"/>
          <w:color w:val="000000"/>
          <w:sz w:val="21"/>
          <w:szCs w:val="21"/>
        </w:rPr>
        <w:t xml:space="preserve"> </w:t>
      </w:r>
      <w:r>
        <w:rPr>
          <w:color w:val="000000"/>
        </w:rPr>
        <w:t>nustatytas ribas t.y.:</w:t>
      </w:r>
    </w:p>
    <w:p w14:paraId="00000522">
      <w:pPr>
        <w:spacing w:after="150"/>
        <w:jc w:val="both"/>
        <w:rPr>
          <w:color w:val="000000"/>
        </w:rPr>
      </w:pPr>
      <w:r>
        <w:rPr>
          <w:color w:val="000000"/>
        </w:rPr>
        <w:t>(a) mano atstovaujamas tiekėjas/subtiekėjas (ir nė vienas iš tiekėjų grupės narių) nėra Rusijos pilietis arba Rusijoje įsisteigęs fizinis ar juridinis asmuo, subjektas ar įstaiga;</w:t>
      </w:r>
    </w:p>
    <w:p w14:paraId="00000523">
      <w:pPr>
        <w:spacing w:after="150"/>
        <w:jc w:val="both"/>
        <w:rPr>
          <w:color w:val="000000"/>
        </w:rPr>
      </w:pPr>
      <w:r>
        <w:rPr>
          <w:color w:val="000000"/>
        </w:rPr>
        <w:t>(b) mano atstovaujamas tiekėjas/subtiekėjas (ir nė vienas iš tiekėjų grupės narių) nėra juridinis asmuo, subjektas ar įstaiga, kurio nuosavybės teisės tiesiogiai ar netiesiogiai daugiau kaip 50 % priklauso šios dalies a) punkte nurodytam subjektui;</w:t>
      </w:r>
    </w:p>
    <w:p w14:paraId="00000524">
      <w:pPr>
        <w:spacing w:after="150"/>
        <w:jc w:val="both"/>
        <w:rPr>
          <w:color w:val="000000"/>
        </w:rPr>
      </w:pPr>
      <w:r>
        <w:rPr>
          <w:color w:val="000000"/>
        </w:rPr>
        <w:t>(c) nei aš, nei mano atstovaujama bendrovė nėra fizinis ar juridinis asmuo, subjektas ar įstaiga, veikianti a) arba b) punkte nurodyto subjekto vardu ar jo nurodymu;</w:t>
      </w:r>
    </w:p>
    <w:p w14:paraId="00000525">
      <w:pPr>
        <w:spacing w:after="150"/>
        <w:jc w:val="both"/>
        <w:rPr>
          <w:color w:val="000000"/>
        </w:rPr>
      </w:pPr>
      <w:r>
        <w:rPr>
          <w:color w:val="000000"/>
        </w:rPr>
        <w:t>(d) a)-c) punktuose išvardyti subjektai nedalyvauja subtiekėjais, tiekėjais ar subjektais, kurių pajėgumais remiasi mano atstovaujamas tiekėjas, tais atvejais kai jiems tenka daugiau kaip 10 % sutarties vertės.</w:t>
      </w:r>
    </w:p>
    <w:p w14:paraId="00000526">
      <w:pPr>
        <w:jc w:val="both"/>
        <w:rPr>
          <w:color w:val="000000"/>
          <w:highlight w:val="white"/>
        </w:rPr>
      </w:pPr>
      <w:r>
        <w:rPr>
          <w:color w:val="000000"/>
        </w:rPr>
        <w:t xml:space="preserve">Patvirtinu, kad tiekėjui/subtiekėjui kuriuos esu pasitelkęs ar pasitelksiu ateityje, </w:t>
      </w:r>
      <w:r>
        <w:t xml:space="preserve">ūkio subjektams, kurių pajėgumais remiuosi ar (ir) remsiuosi, prekių (ir jų sudedamųjų dalių) gamintojams </w:t>
      </w:r>
      <w:r>
        <w:rPr>
          <w:color w:val="000000"/>
        </w:rPr>
        <w:t>netaikomos</w:t>
      </w:r>
      <w:r>
        <w:t xml:space="preserve"> Lietuvos Respublikoje įgyvendinamos tarptautinės sankcijos, kaip tai apibrėžta Lietuvos Respublikos tarptautinių sankcijų įstatyme.</w:t>
      </w:r>
    </w:p>
    <w:p w14:paraId="00000527">
      <w:pPr>
        <w:tabs>
          <w:tab w:val="left" w:pos="284"/>
          <w:tab w:val="left" w:pos="426"/>
        </w:tabs>
        <w:spacing w:after="150"/>
        <w:jc w:val="both"/>
        <w:rPr>
          <w:color w:val="000000"/>
        </w:rPr>
      </w:pPr>
    </w:p>
    <w:p w14:paraId="00000528">
      <w:pPr>
        <w:tabs>
          <w:tab w:val="left" w:pos="284"/>
          <w:tab w:val="left" w:pos="426"/>
        </w:tabs>
        <w:spacing w:after="150"/>
        <w:jc w:val="both"/>
        <w:rPr>
          <w:color w:val="000000"/>
        </w:rPr>
      </w:pPr>
      <w:r>
        <w:rPr>
          <w:color w:val="000000"/>
        </w:rPr>
        <w:t xml:space="preserve">Deklaruojamoms aplinkybėms pasikeitus, įsipareigoju nedelsiant apie tai informuoti Pirkimo vykdytoją. </w:t>
      </w:r>
    </w:p>
    <w:tbl>
      <w:tblPr>
        <w:tblStyle w:val="149"/>
        <w:tblW w:w="3969" w:type="dxa"/>
        <w:jc w:val="center"/>
        <w:tblLayout w:type="fixed"/>
        <w:tblCellMar>
          <w:top w:w="15" w:type="dxa"/>
          <w:left w:w="15" w:type="dxa"/>
          <w:bottom w:w="15" w:type="dxa"/>
          <w:right w:w="15" w:type="dxa"/>
        </w:tblCellMar>
      </w:tblPr>
      <w:tblGrid>
        <w:gridCol w:w="862"/>
        <w:gridCol w:w="236"/>
        <w:gridCol w:w="236"/>
        <w:gridCol w:w="236"/>
        <w:gridCol w:w="2163"/>
        <w:gridCol w:w="236"/>
      </w:tblGrid>
      <w:tr w14:paraId="72EC8170">
        <w:tblPrEx>
          <w:tblCellMar>
            <w:top w:w="15" w:type="dxa"/>
            <w:left w:w="15" w:type="dxa"/>
            <w:bottom w:w="15" w:type="dxa"/>
            <w:right w:w="15" w:type="dxa"/>
          </w:tblCellMar>
        </w:tblPrEx>
        <w:trPr>
          <w:jc w:val="center"/>
        </w:trPr>
        <w:tc>
          <w:tcPr>
            <w:tcW w:w="3970" w:type="dxa"/>
            <w:gridSpan w:val="6"/>
            <w:tcMar>
              <w:top w:w="0" w:type="dxa"/>
              <w:left w:w="108" w:type="dxa"/>
              <w:bottom w:w="0" w:type="dxa"/>
              <w:right w:w="108" w:type="dxa"/>
            </w:tcMar>
          </w:tcPr>
          <w:p w14:paraId="00000529">
            <w:pPr>
              <w:tabs>
                <w:tab w:val="left" w:pos="284"/>
                <w:tab w:val="left" w:pos="426"/>
              </w:tabs>
              <w:spacing w:after="150"/>
              <w:jc w:val="both"/>
              <w:rPr>
                <w:color w:val="000000"/>
                <w:sz w:val="21"/>
                <w:szCs w:val="21"/>
              </w:rPr>
            </w:pPr>
          </w:p>
        </w:tc>
      </w:tr>
      <w:tr w14:paraId="762E8A2A">
        <w:tblPrEx>
          <w:tblCellMar>
            <w:top w:w="15" w:type="dxa"/>
            <w:left w:w="15" w:type="dxa"/>
            <w:bottom w:w="15" w:type="dxa"/>
            <w:right w:w="15" w:type="dxa"/>
          </w:tblCellMar>
        </w:tblPrEx>
        <w:trPr>
          <w:trHeight w:val="285" w:hRule="atLeast"/>
          <w:jc w:val="center"/>
        </w:trPr>
        <w:tc>
          <w:tcPr>
            <w:tcW w:w="876" w:type="dxa"/>
            <w:tcBorders>
              <w:bottom w:val="single" w:color="000000" w:sz="4" w:space="0"/>
            </w:tcBorders>
            <w:tcMar>
              <w:top w:w="0" w:type="dxa"/>
              <w:left w:w="108" w:type="dxa"/>
              <w:bottom w:w="0" w:type="dxa"/>
              <w:right w:w="108" w:type="dxa"/>
            </w:tcMar>
          </w:tcPr>
          <w:p w14:paraId="0000052F">
            <w:pPr>
              <w:rPr>
                <w:sz w:val="21"/>
                <w:szCs w:val="21"/>
              </w:rPr>
            </w:pPr>
          </w:p>
        </w:tc>
        <w:tc>
          <w:tcPr>
            <w:tcW w:w="222" w:type="dxa"/>
            <w:tcMar>
              <w:top w:w="0" w:type="dxa"/>
              <w:left w:w="108" w:type="dxa"/>
              <w:bottom w:w="0" w:type="dxa"/>
              <w:right w:w="108" w:type="dxa"/>
            </w:tcMar>
          </w:tcPr>
          <w:p w14:paraId="00000530">
            <w:pPr>
              <w:rPr>
                <w:sz w:val="21"/>
                <w:szCs w:val="21"/>
              </w:rPr>
            </w:pPr>
          </w:p>
        </w:tc>
        <w:tc>
          <w:tcPr>
            <w:tcW w:w="222" w:type="dxa"/>
            <w:tcMar>
              <w:top w:w="0" w:type="dxa"/>
              <w:left w:w="108" w:type="dxa"/>
              <w:bottom w:w="0" w:type="dxa"/>
              <w:right w:w="108" w:type="dxa"/>
            </w:tcMar>
          </w:tcPr>
          <w:p w14:paraId="00000531">
            <w:pPr>
              <w:rPr>
                <w:sz w:val="21"/>
                <w:szCs w:val="21"/>
              </w:rPr>
            </w:pPr>
          </w:p>
        </w:tc>
        <w:tc>
          <w:tcPr>
            <w:tcW w:w="222" w:type="dxa"/>
            <w:tcMar>
              <w:top w:w="0" w:type="dxa"/>
              <w:left w:w="108" w:type="dxa"/>
              <w:bottom w:w="0" w:type="dxa"/>
              <w:right w:w="108" w:type="dxa"/>
            </w:tcMar>
          </w:tcPr>
          <w:p w14:paraId="00000532">
            <w:pPr>
              <w:rPr>
                <w:sz w:val="21"/>
                <w:szCs w:val="21"/>
              </w:rPr>
            </w:pPr>
          </w:p>
        </w:tc>
        <w:tc>
          <w:tcPr>
            <w:tcW w:w="2206" w:type="dxa"/>
            <w:tcBorders>
              <w:bottom w:val="single" w:color="000000" w:sz="4" w:space="0"/>
            </w:tcBorders>
            <w:tcMar>
              <w:top w:w="0" w:type="dxa"/>
              <w:left w:w="108" w:type="dxa"/>
              <w:bottom w:w="0" w:type="dxa"/>
              <w:right w:w="108" w:type="dxa"/>
            </w:tcMar>
          </w:tcPr>
          <w:p w14:paraId="00000533">
            <w:pPr>
              <w:rPr>
                <w:sz w:val="21"/>
                <w:szCs w:val="21"/>
              </w:rPr>
            </w:pPr>
          </w:p>
        </w:tc>
        <w:tc>
          <w:tcPr>
            <w:tcW w:w="222" w:type="dxa"/>
            <w:tcMar>
              <w:top w:w="0" w:type="dxa"/>
              <w:left w:w="108" w:type="dxa"/>
              <w:bottom w:w="0" w:type="dxa"/>
              <w:right w:w="108" w:type="dxa"/>
            </w:tcMar>
          </w:tcPr>
          <w:p w14:paraId="00000534">
            <w:pPr>
              <w:rPr>
                <w:sz w:val="21"/>
                <w:szCs w:val="21"/>
              </w:rPr>
            </w:pPr>
          </w:p>
        </w:tc>
      </w:tr>
      <w:tr w14:paraId="72775D6C">
        <w:tblPrEx>
          <w:tblCellMar>
            <w:top w:w="15" w:type="dxa"/>
            <w:left w:w="15" w:type="dxa"/>
            <w:bottom w:w="15" w:type="dxa"/>
            <w:right w:w="15" w:type="dxa"/>
          </w:tblCellMar>
        </w:tblPrEx>
        <w:trPr>
          <w:trHeight w:val="186" w:hRule="atLeast"/>
          <w:jc w:val="center"/>
        </w:trPr>
        <w:tc>
          <w:tcPr>
            <w:tcW w:w="876" w:type="dxa"/>
            <w:tcBorders>
              <w:top w:val="single" w:color="000000" w:sz="4" w:space="0"/>
            </w:tcBorders>
            <w:tcMar>
              <w:top w:w="0" w:type="dxa"/>
              <w:left w:w="108" w:type="dxa"/>
              <w:bottom w:w="0" w:type="dxa"/>
              <w:right w:w="108" w:type="dxa"/>
            </w:tcMar>
          </w:tcPr>
          <w:p w14:paraId="00000535">
            <w:pPr>
              <w:spacing w:after="150"/>
              <w:rPr>
                <w:sz w:val="18"/>
                <w:szCs w:val="18"/>
              </w:rPr>
            </w:pPr>
            <w:r>
              <w:rPr>
                <w:color w:val="000000"/>
                <w:sz w:val="18"/>
                <w:szCs w:val="18"/>
              </w:rPr>
              <w:t>(Parašas)</w:t>
            </w:r>
          </w:p>
        </w:tc>
        <w:tc>
          <w:tcPr>
            <w:tcW w:w="222" w:type="dxa"/>
            <w:tcMar>
              <w:top w:w="0" w:type="dxa"/>
              <w:left w:w="108" w:type="dxa"/>
              <w:bottom w:w="0" w:type="dxa"/>
              <w:right w:w="108" w:type="dxa"/>
            </w:tcMar>
          </w:tcPr>
          <w:p w14:paraId="00000536">
            <w:pPr>
              <w:rPr>
                <w:sz w:val="18"/>
                <w:szCs w:val="18"/>
              </w:rPr>
            </w:pPr>
          </w:p>
        </w:tc>
        <w:tc>
          <w:tcPr>
            <w:tcW w:w="222" w:type="dxa"/>
            <w:tcMar>
              <w:top w:w="0" w:type="dxa"/>
              <w:left w:w="108" w:type="dxa"/>
              <w:bottom w:w="0" w:type="dxa"/>
              <w:right w:w="108" w:type="dxa"/>
            </w:tcMar>
          </w:tcPr>
          <w:p w14:paraId="00000537">
            <w:pPr>
              <w:rPr>
                <w:sz w:val="18"/>
                <w:szCs w:val="18"/>
              </w:rPr>
            </w:pPr>
          </w:p>
        </w:tc>
        <w:tc>
          <w:tcPr>
            <w:tcW w:w="222" w:type="dxa"/>
            <w:tcMar>
              <w:top w:w="0" w:type="dxa"/>
              <w:left w:w="108" w:type="dxa"/>
              <w:bottom w:w="0" w:type="dxa"/>
              <w:right w:w="108" w:type="dxa"/>
            </w:tcMar>
          </w:tcPr>
          <w:p w14:paraId="00000538">
            <w:pPr>
              <w:rPr>
                <w:sz w:val="18"/>
                <w:szCs w:val="18"/>
              </w:rPr>
            </w:pPr>
          </w:p>
        </w:tc>
        <w:tc>
          <w:tcPr>
            <w:tcW w:w="2206" w:type="dxa"/>
            <w:tcBorders>
              <w:top w:val="single" w:color="000000" w:sz="4" w:space="0"/>
            </w:tcBorders>
            <w:tcMar>
              <w:top w:w="0" w:type="dxa"/>
              <w:left w:w="108" w:type="dxa"/>
              <w:bottom w:w="0" w:type="dxa"/>
              <w:right w:w="108" w:type="dxa"/>
            </w:tcMar>
          </w:tcPr>
          <w:p w14:paraId="00000539">
            <w:pPr>
              <w:spacing w:after="150"/>
              <w:rPr>
                <w:sz w:val="18"/>
                <w:szCs w:val="18"/>
              </w:rPr>
            </w:pPr>
            <w:r>
              <w:rPr>
                <w:color w:val="000000"/>
                <w:sz w:val="18"/>
                <w:szCs w:val="18"/>
              </w:rPr>
              <w:t>(Vardas, pavardė, pareigos)</w:t>
            </w:r>
          </w:p>
        </w:tc>
        <w:tc>
          <w:tcPr>
            <w:tcW w:w="222" w:type="dxa"/>
            <w:tcMar>
              <w:top w:w="0" w:type="dxa"/>
              <w:left w:w="108" w:type="dxa"/>
              <w:bottom w:w="0" w:type="dxa"/>
              <w:right w:w="108" w:type="dxa"/>
            </w:tcMar>
          </w:tcPr>
          <w:p w14:paraId="0000053A">
            <w:pPr>
              <w:rPr>
                <w:sz w:val="18"/>
                <w:szCs w:val="18"/>
              </w:rPr>
            </w:pPr>
          </w:p>
        </w:tc>
      </w:tr>
    </w:tbl>
    <w:p w14:paraId="0000053B"/>
    <w:p w14:paraId="0000053C">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53D">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53E">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53F">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540">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541">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542">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543">
      <w:pPr>
        <w:keepNext/>
        <w:keepLines/>
        <w:pBdr>
          <w:top w:val="none" w:color="000000" w:sz="0" w:space="0"/>
          <w:left w:val="none" w:color="000000" w:sz="0" w:space="0"/>
          <w:bottom w:val="none" w:color="000000" w:sz="0" w:space="0"/>
          <w:right w:val="none" w:color="000000" w:sz="0" w:space="0"/>
          <w:between w:val="none" w:color="000000" w:sz="0" w:space="0"/>
        </w:pBdr>
        <w:spacing w:before="160" w:after="80"/>
        <w:ind w:left="5103"/>
        <w:rPr>
          <w:color w:val="000000"/>
        </w:rPr>
      </w:pPr>
      <w:bookmarkStart w:id="28" w:name="_heading=h.3c5kn0ijcoob" w:colFirst="0" w:colLast="0"/>
      <w:bookmarkEnd w:id="28"/>
      <w:r>
        <w:rPr>
          <w:color w:val="000000"/>
        </w:rPr>
        <w:t>Pirkimo sąlygų 10 priedas „Sutarties projektas“</w:t>
      </w:r>
    </w:p>
    <w:p w14:paraId="00000544">
      <w:pPr>
        <w:pBdr>
          <w:top w:val="none" w:color="000000" w:sz="0" w:space="0"/>
          <w:left w:val="none" w:color="000000" w:sz="0" w:space="0"/>
          <w:bottom w:val="none" w:color="000000" w:sz="0" w:space="0"/>
          <w:right w:val="none" w:color="000000" w:sz="0" w:space="0"/>
          <w:between w:val="none" w:color="000000" w:sz="0" w:space="0"/>
        </w:pBdr>
        <w:spacing w:line="256" w:lineRule="auto"/>
        <w:rPr>
          <w:color w:val="000000"/>
        </w:rPr>
      </w:pPr>
    </w:p>
    <w:p w14:paraId="00000545">
      <w:pPr>
        <w:pBdr>
          <w:top w:val="none" w:color="000000" w:sz="0" w:space="0"/>
          <w:left w:val="none" w:color="000000" w:sz="0" w:space="0"/>
          <w:bottom w:val="none" w:color="000000" w:sz="0" w:space="0"/>
          <w:right w:val="none" w:color="000000" w:sz="0" w:space="0"/>
          <w:between w:val="none" w:color="000000" w:sz="0" w:space="0"/>
        </w:pBdr>
        <w:spacing w:line="256" w:lineRule="auto"/>
        <w:jc w:val="center"/>
        <w:rPr>
          <w:color w:val="000000"/>
        </w:rPr>
      </w:pPr>
      <w:r>
        <w:rPr>
          <w:b/>
          <w:smallCaps/>
          <w:color w:val="000000"/>
        </w:rPr>
        <w:t>PIRKIMO-PARDAVIMO SUTARTIES BENDROSIOS SĄLYGOS</w:t>
      </w:r>
    </w:p>
    <w:p w14:paraId="00000546">
      <w:pPr>
        <w:spacing w:line="259" w:lineRule="auto"/>
        <w:jc w:val="center"/>
      </w:pPr>
    </w:p>
    <w:p w14:paraId="00000547">
      <w:pPr>
        <w:keepNext/>
        <w:keepLines/>
        <w:tabs>
          <w:tab w:val="left" w:pos="426"/>
        </w:tabs>
        <w:spacing w:line="259" w:lineRule="auto"/>
        <w:jc w:val="center"/>
        <w:rPr>
          <w:b/>
          <w:smallCaps/>
        </w:rPr>
      </w:pPr>
      <w:r>
        <w:rPr>
          <w:b/>
          <w:smallCaps/>
        </w:rPr>
        <w:t>1.</w:t>
      </w:r>
      <w:r>
        <w:rPr>
          <w:b/>
          <w:smallCaps/>
        </w:rPr>
        <w:tab/>
      </w:r>
      <w:r>
        <w:rPr>
          <w:b/>
          <w:smallCaps/>
        </w:rPr>
        <w:t>PAGRINDINĖS SĄVOKOS IR SUTARTIES AIŠKINIMAS</w:t>
      </w:r>
    </w:p>
    <w:p w14:paraId="00000548">
      <w:pPr>
        <w:keepNext/>
        <w:keepLines/>
        <w:tabs>
          <w:tab w:val="left" w:pos="426"/>
        </w:tabs>
        <w:spacing w:line="259" w:lineRule="auto"/>
        <w:jc w:val="both"/>
        <w:rPr>
          <w:b/>
          <w:smallCaps/>
        </w:rPr>
      </w:pPr>
    </w:p>
    <w:p w14:paraId="00000549">
      <w:pPr>
        <w:keepNext/>
        <w:keepLines/>
        <w:widowControl w:val="0"/>
        <w:tabs>
          <w:tab w:val="left" w:pos="284"/>
          <w:tab w:val="left" w:pos="426"/>
          <w:tab w:val="left" w:pos="567"/>
          <w:tab w:val="left" w:pos="851"/>
          <w:tab w:val="left" w:pos="992"/>
          <w:tab w:val="left" w:pos="1134"/>
        </w:tabs>
        <w:spacing w:line="259" w:lineRule="auto"/>
        <w:jc w:val="center"/>
        <w:rPr>
          <w:b/>
        </w:rPr>
      </w:pPr>
      <w:r>
        <w:rPr>
          <w:b/>
        </w:rPr>
        <w:t>1.1.</w:t>
      </w:r>
      <w:r>
        <w:rPr>
          <w:b/>
        </w:rPr>
        <w:tab/>
      </w:r>
      <w:r>
        <w:rPr>
          <w:b/>
        </w:rPr>
        <w:t>Sąvokos</w:t>
      </w:r>
    </w:p>
    <w:p w14:paraId="0000054A">
      <w:pPr>
        <w:keepNext/>
        <w:keepLines/>
        <w:widowControl w:val="0"/>
        <w:tabs>
          <w:tab w:val="left" w:pos="284"/>
          <w:tab w:val="left" w:pos="426"/>
          <w:tab w:val="left" w:pos="567"/>
          <w:tab w:val="left" w:pos="851"/>
          <w:tab w:val="left" w:pos="992"/>
          <w:tab w:val="left" w:pos="1134"/>
        </w:tabs>
        <w:spacing w:line="259" w:lineRule="auto"/>
        <w:jc w:val="both"/>
        <w:rPr>
          <w:b/>
        </w:rPr>
      </w:pPr>
    </w:p>
    <w:p w14:paraId="0000054B">
      <w:pPr>
        <w:widowControl w:val="0"/>
        <w:tabs>
          <w:tab w:val="left" w:pos="567"/>
        </w:tabs>
        <w:spacing w:line="259" w:lineRule="auto"/>
        <w:jc w:val="both"/>
        <w:rPr>
          <w:b/>
        </w:rPr>
      </w:pPr>
      <w:r>
        <w:t>1.1.1. Šioje Sutartyje didžiąja raide rašomos sąvokos turi paskiau nurodytas reikšmes:</w:t>
      </w:r>
    </w:p>
    <w:p w14:paraId="0000054C">
      <w:pPr>
        <w:widowControl w:val="0"/>
        <w:tabs>
          <w:tab w:val="left" w:pos="567"/>
          <w:tab w:val="left" w:pos="851"/>
          <w:tab w:val="left" w:pos="992"/>
          <w:tab w:val="left" w:pos="1134"/>
        </w:tabs>
        <w:spacing w:line="259" w:lineRule="auto"/>
        <w:jc w:val="both"/>
      </w:pPr>
      <w:r>
        <w:t>1.1.1.1.</w:t>
      </w:r>
      <w:r>
        <w:tab/>
      </w:r>
      <w:r>
        <w:rPr>
          <w:b/>
        </w:rPr>
        <w:t>Bendrosios sąlygos</w:t>
      </w:r>
      <w:r>
        <w:t xml:space="preserve"> – ši Sutarties dalis, kuri vadinasi „Prekių pirkimo–pardavimo sutarties Bendrosios sąlygos“;</w:t>
      </w:r>
    </w:p>
    <w:p w14:paraId="0000054D">
      <w:pPr>
        <w:widowControl w:val="0"/>
        <w:tabs>
          <w:tab w:val="left" w:pos="567"/>
          <w:tab w:val="left" w:pos="851"/>
          <w:tab w:val="left" w:pos="992"/>
          <w:tab w:val="left" w:pos="1134"/>
        </w:tabs>
        <w:spacing w:line="259" w:lineRule="auto"/>
        <w:jc w:val="both"/>
      </w:pPr>
      <w:r>
        <w:t>1.1.1.2.</w:t>
      </w:r>
      <w:r>
        <w:tab/>
      </w:r>
      <w:r>
        <w:rPr>
          <w:b/>
        </w:rPr>
        <w:t>Pirkėjas</w:t>
      </w:r>
      <w:r>
        <w:t xml:space="preserve"> – asmuo, kuris Specialiosiose sąlygose yra įvardytas kaip Pirkėjas, įsigyjantis Specialiosiose sąlygose ir Sutarties prieduose nurodytas Prekes;</w:t>
      </w:r>
    </w:p>
    <w:p w14:paraId="0000054E">
      <w:pPr>
        <w:widowControl w:val="0"/>
        <w:tabs>
          <w:tab w:val="left" w:pos="567"/>
          <w:tab w:val="left" w:pos="851"/>
          <w:tab w:val="left" w:pos="992"/>
          <w:tab w:val="left" w:pos="1134"/>
        </w:tabs>
        <w:spacing w:line="259" w:lineRule="auto"/>
        <w:jc w:val="both"/>
        <w:rPr>
          <w:b/>
        </w:rPr>
      </w:pPr>
      <w:r>
        <w:t>1.1.1.3.</w:t>
      </w:r>
      <w:r>
        <w:tab/>
      </w:r>
      <w:r>
        <w:rPr>
          <w:b/>
        </w:rPr>
        <w:t xml:space="preserve">Pradinės sutarties vertė </w:t>
      </w:r>
      <w:r>
        <w:t>– Specialiosiose sąlygose nurodyta</w:t>
      </w:r>
      <w:r>
        <w:rPr>
          <w:b/>
        </w:rPr>
        <w:t xml:space="preserve"> </w:t>
      </w:r>
      <w:r>
        <w:t>vertė (be PVM);</w:t>
      </w:r>
      <w:r>
        <w:rPr>
          <w:b/>
        </w:rPr>
        <w:t xml:space="preserve"> </w:t>
      </w:r>
    </w:p>
    <w:p w14:paraId="0000054F">
      <w:pPr>
        <w:widowControl w:val="0"/>
        <w:tabs>
          <w:tab w:val="left" w:pos="567"/>
          <w:tab w:val="left" w:pos="851"/>
          <w:tab w:val="left" w:pos="992"/>
          <w:tab w:val="left" w:pos="1134"/>
        </w:tabs>
        <w:spacing w:line="259" w:lineRule="auto"/>
        <w:jc w:val="both"/>
      </w:pPr>
      <w:r>
        <w:t>1.1.1.4.</w:t>
      </w:r>
      <w:r>
        <w:tab/>
      </w:r>
      <w:r>
        <w:rPr>
          <w:b/>
        </w:rPr>
        <w:t>Prekės</w:t>
      </w:r>
      <w:r>
        <w:t xml:space="preserve">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0000550">
      <w:pPr>
        <w:widowControl w:val="0"/>
        <w:tabs>
          <w:tab w:val="left" w:pos="567"/>
          <w:tab w:val="left" w:pos="851"/>
          <w:tab w:val="left" w:pos="992"/>
          <w:tab w:val="left" w:pos="1134"/>
        </w:tabs>
        <w:spacing w:line="259" w:lineRule="auto"/>
        <w:jc w:val="both"/>
      </w:pPr>
      <w:r>
        <w:t>1.1.1.5.</w:t>
      </w:r>
      <w:r>
        <w:tab/>
      </w:r>
      <w:r>
        <w:rPr>
          <w:b/>
        </w:rPr>
        <w:t xml:space="preserve">Prekių perdavimo–priėmimo aktas </w:t>
      </w:r>
      <w:r>
        <w:t>– dokumentas,</w:t>
      </w:r>
      <w:r>
        <w:rPr>
          <w:b/>
        </w:rPr>
        <w:t xml:space="preserve"> </w:t>
      </w:r>
      <w: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0000551">
      <w:pPr>
        <w:widowControl w:val="0"/>
        <w:tabs>
          <w:tab w:val="left" w:pos="567"/>
          <w:tab w:val="left" w:pos="851"/>
          <w:tab w:val="left" w:pos="992"/>
          <w:tab w:val="left" w:pos="1134"/>
        </w:tabs>
        <w:spacing w:line="259" w:lineRule="auto"/>
        <w:jc w:val="both"/>
      </w:pPr>
      <w:r>
        <w:t>1.1.1.6.</w:t>
      </w:r>
      <w:r>
        <w:tab/>
      </w:r>
      <w:r>
        <w:rPr>
          <w:b/>
        </w:rPr>
        <w:t>Prekių trūkumai</w:t>
      </w:r>
      <w:r>
        <w:t xml:space="preserve">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0000552">
      <w:pPr>
        <w:widowControl w:val="0"/>
        <w:tabs>
          <w:tab w:val="left" w:pos="567"/>
          <w:tab w:val="left" w:pos="851"/>
          <w:tab w:val="left" w:pos="992"/>
          <w:tab w:val="left" w:pos="1134"/>
        </w:tabs>
        <w:spacing w:line="259" w:lineRule="auto"/>
        <w:jc w:val="both"/>
        <w:rPr>
          <w:b/>
        </w:rPr>
      </w:pPr>
      <w:r>
        <w:t>1.1.1.7.</w:t>
      </w:r>
      <w:r>
        <w:tab/>
      </w:r>
      <w:r>
        <w:rPr>
          <w:b/>
        </w:rPr>
        <w:t xml:space="preserve">Sąskaita </w:t>
      </w:r>
      <w:r>
        <w:t>–</w:t>
      </w:r>
      <w:r>
        <w:rPr>
          <w:b/>
        </w:rPr>
        <w:t xml:space="preserve"> </w:t>
      </w:r>
      <w: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0000553">
      <w:pPr>
        <w:widowControl w:val="0"/>
        <w:tabs>
          <w:tab w:val="left" w:pos="567"/>
          <w:tab w:val="left" w:pos="851"/>
          <w:tab w:val="left" w:pos="992"/>
          <w:tab w:val="left" w:pos="1134"/>
        </w:tabs>
        <w:spacing w:line="259" w:lineRule="auto"/>
        <w:jc w:val="both"/>
      </w:pPr>
      <w:r>
        <w:t>1.1.1.8.</w:t>
      </w:r>
      <w:r>
        <w:tab/>
      </w:r>
      <w:r>
        <w:rPr>
          <w:b/>
        </w:rPr>
        <w:t>Specialiosios sąlygos</w:t>
      </w:r>
      <w: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0000554">
      <w:pPr>
        <w:widowControl w:val="0"/>
        <w:tabs>
          <w:tab w:val="left" w:pos="567"/>
          <w:tab w:val="left" w:pos="851"/>
          <w:tab w:val="left" w:pos="992"/>
          <w:tab w:val="left" w:pos="1134"/>
        </w:tabs>
        <w:spacing w:line="259" w:lineRule="auto"/>
        <w:jc w:val="both"/>
        <w:rPr>
          <w:b/>
        </w:rPr>
      </w:pPr>
      <w:r>
        <w:t>1.1.1.9.</w:t>
      </w:r>
      <w:r>
        <w:tab/>
      </w:r>
      <w:r>
        <w:rPr>
          <w:b/>
        </w:rPr>
        <w:t xml:space="preserve">Susitarimas </w:t>
      </w:r>
      <w:r>
        <w:t>– tai dokumentas, kurį Šalys sudaro keisdamos Sutarties sąlygas VPĮ leidžiama apimtimi;</w:t>
      </w:r>
    </w:p>
    <w:p w14:paraId="00000555">
      <w:pPr>
        <w:widowControl w:val="0"/>
        <w:tabs>
          <w:tab w:val="left" w:pos="567"/>
          <w:tab w:val="left" w:pos="851"/>
          <w:tab w:val="left" w:pos="992"/>
          <w:tab w:val="left" w:pos="1134"/>
        </w:tabs>
        <w:spacing w:line="259" w:lineRule="auto"/>
        <w:jc w:val="both"/>
        <w:rPr>
          <w:b/>
        </w:rPr>
      </w:pPr>
      <w:r>
        <w:t>1.1.1.10.</w:t>
      </w:r>
      <w:r>
        <w:tab/>
      </w:r>
      <w:r>
        <w:rPr>
          <w:b/>
        </w:rPr>
        <w:t>Sutarties kaina</w:t>
      </w:r>
      <w:r>
        <w:t xml:space="preserve"> – pagal Sutartį Tiekėjui mokėtina galutinė suma, įskaitant visus privalomus mokesčius ir išlaidas;</w:t>
      </w:r>
    </w:p>
    <w:p w14:paraId="00000556">
      <w:pPr>
        <w:widowControl w:val="0"/>
        <w:tabs>
          <w:tab w:val="left" w:pos="567"/>
          <w:tab w:val="left" w:pos="851"/>
          <w:tab w:val="left" w:pos="992"/>
          <w:tab w:val="left" w:pos="1134"/>
        </w:tabs>
        <w:spacing w:line="259" w:lineRule="auto"/>
        <w:jc w:val="both"/>
      </w:pPr>
      <w:r>
        <w:t>1.1.1.11.</w:t>
      </w:r>
      <w:r>
        <w:tab/>
      </w:r>
      <w:r>
        <w:rPr>
          <w:b/>
        </w:rPr>
        <w:t xml:space="preserve">Sutarties sąlygos </w:t>
      </w:r>
      <w:r>
        <w:t>– Bendrosios sąlygos ir Specialiosios sąlygos kartu;</w:t>
      </w:r>
    </w:p>
    <w:p w14:paraId="00000557">
      <w:pPr>
        <w:widowControl w:val="0"/>
        <w:tabs>
          <w:tab w:val="left" w:pos="567"/>
          <w:tab w:val="left" w:pos="851"/>
          <w:tab w:val="left" w:pos="992"/>
          <w:tab w:val="left" w:pos="1134"/>
        </w:tabs>
        <w:spacing w:line="259" w:lineRule="auto"/>
        <w:jc w:val="both"/>
      </w:pPr>
      <w:r>
        <w:t>1.1.1.12.</w:t>
      </w:r>
      <w:r>
        <w:tab/>
      </w:r>
      <w:r>
        <w:rPr>
          <w:b/>
        </w:rPr>
        <w:t xml:space="preserve">Sutartis </w:t>
      </w:r>
      <w:r>
        <w:t>– Prekių pirkimo–pardavimo sutartis, kurią sudaro Sutarties sąlygos, Specialiosiose sąlygose išvardyti priedai ir Susitarimai;</w:t>
      </w:r>
    </w:p>
    <w:p w14:paraId="00000558">
      <w:pPr>
        <w:widowControl w:val="0"/>
        <w:tabs>
          <w:tab w:val="left" w:pos="567"/>
          <w:tab w:val="left" w:pos="851"/>
          <w:tab w:val="left" w:pos="992"/>
          <w:tab w:val="left" w:pos="1134"/>
        </w:tabs>
        <w:spacing w:line="259" w:lineRule="auto"/>
        <w:jc w:val="both"/>
      </w:pPr>
      <w:r>
        <w:t>1.1.1.13.</w:t>
      </w:r>
      <w:r>
        <w:tab/>
      </w:r>
      <w:r>
        <w:rPr>
          <w:b/>
        </w:rPr>
        <w:t>Šalis</w:t>
      </w:r>
      <w:r>
        <w:t xml:space="preserve"> – Pirkėjas arba Tiekėjas, kiekvienas atskirai, priklausomai nuo konteksto;</w:t>
      </w:r>
    </w:p>
    <w:p w14:paraId="00000559">
      <w:pPr>
        <w:widowControl w:val="0"/>
        <w:tabs>
          <w:tab w:val="left" w:pos="567"/>
          <w:tab w:val="left" w:pos="851"/>
          <w:tab w:val="left" w:pos="992"/>
          <w:tab w:val="left" w:pos="1134"/>
        </w:tabs>
        <w:spacing w:line="259" w:lineRule="auto"/>
        <w:jc w:val="both"/>
        <w:rPr>
          <w:lang w:val="fi-FI"/>
        </w:rPr>
      </w:pPr>
      <w:r>
        <w:rPr>
          <w:lang w:val="fi-FI"/>
        </w:rPr>
        <w:t>1.1.1.14.</w:t>
      </w:r>
      <w:r>
        <w:rPr>
          <w:lang w:val="fi-FI"/>
        </w:rPr>
        <w:tab/>
      </w:r>
      <w:r>
        <w:rPr>
          <w:b/>
          <w:lang w:val="fi-FI"/>
        </w:rPr>
        <w:t>Šalys</w:t>
      </w:r>
      <w:r>
        <w:rPr>
          <w:lang w:val="fi-FI"/>
        </w:rPr>
        <w:t xml:space="preserve"> – Pirkėjas ir Tiekėjas kartu;</w:t>
      </w:r>
    </w:p>
    <w:p w14:paraId="0000055A">
      <w:pPr>
        <w:widowControl w:val="0"/>
        <w:tabs>
          <w:tab w:val="left" w:pos="567"/>
          <w:tab w:val="left" w:pos="851"/>
          <w:tab w:val="left" w:pos="992"/>
          <w:tab w:val="left" w:pos="1134"/>
        </w:tabs>
        <w:spacing w:line="259" w:lineRule="auto"/>
        <w:jc w:val="both"/>
        <w:rPr>
          <w:lang w:val="fi-FI"/>
        </w:rPr>
      </w:pPr>
      <w:r>
        <w:rPr>
          <w:lang w:val="fi-FI"/>
        </w:rPr>
        <w:t>1.1.1.15.</w:t>
      </w:r>
      <w:r>
        <w:rPr>
          <w:lang w:val="fi-FI"/>
        </w:rPr>
        <w:tab/>
      </w:r>
      <w:r>
        <w:rPr>
          <w:b/>
          <w:lang w:val="fi-FI"/>
        </w:rPr>
        <w:t>Tiekėjas</w:t>
      </w:r>
      <w:r>
        <w:rPr>
          <w:lang w:val="fi-FI"/>
        </w:rPr>
        <w:t xml:space="preserve"> – asmuo, kuris Specialiosiose sąlygose yra įvardytas kaip Tiekėjas, tiekiantis Specialiosiose sąlygose nurodytas Prekes;</w:t>
      </w:r>
    </w:p>
    <w:p w14:paraId="0000055B">
      <w:pPr>
        <w:widowControl w:val="0"/>
        <w:tabs>
          <w:tab w:val="left" w:pos="567"/>
          <w:tab w:val="left" w:pos="851"/>
          <w:tab w:val="left" w:pos="992"/>
          <w:tab w:val="left" w:pos="1134"/>
        </w:tabs>
        <w:spacing w:line="259" w:lineRule="auto"/>
        <w:jc w:val="both"/>
        <w:rPr>
          <w:b/>
          <w:lang w:val="fi-FI"/>
        </w:rPr>
      </w:pPr>
      <w:r>
        <w:rPr>
          <w:lang w:val="fi-FI"/>
        </w:rPr>
        <w:t>1.1.1.16.</w:t>
      </w:r>
      <w:r>
        <w:rPr>
          <w:lang w:val="fi-FI"/>
        </w:rPr>
        <w:tab/>
      </w:r>
      <w:r>
        <w:rPr>
          <w:b/>
          <w:lang w:val="fi-FI"/>
        </w:rPr>
        <w:t xml:space="preserve">VPĮ </w:t>
      </w:r>
      <w:r>
        <w:rPr>
          <w:lang w:val="fi-FI"/>
        </w:rPr>
        <w:t>– Lietuvos Respublikos viešųjų pirkimų įstatymas.</w:t>
      </w:r>
    </w:p>
    <w:p w14:paraId="0000055C">
      <w:pPr>
        <w:widowControl w:val="0"/>
        <w:tabs>
          <w:tab w:val="left" w:pos="567"/>
          <w:tab w:val="left" w:pos="851"/>
          <w:tab w:val="left" w:pos="992"/>
          <w:tab w:val="left" w:pos="1134"/>
        </w:tabs>
        <w:spacing w:line="259" w:lineRule="auto"/>
        <w:jc w:val="both"/>
        <w:rPr>
          <w:lang w:val="fi-FI"/>
        </w:rPr>
      </w:pPr>
      <w:r>
        <w:rPr>
          <w:lang w:val="fi-FI"/>
        </w:rPr>
        <w:t>1.1.1.17.</w:t>
      </w:r>
      <w:r>
        <w:rPr>
          <w:lang w:val="fi-FI"/>
        </w:rPr>
        <w:tab/>
      </w:r>
      <w:r>
        <w:rPr>
          <w:lang w:val="fi-FI"/>
        </w:rPr>
        <w:t>Kitų Sutartyje didžiąja raide rašomų sąvokų reikšmės yra nurodytos Sutarties tekste.</w:t>
      </w:r>
    </w:p>
    <w:p w14:paraId="0000055D">
      <w:pPr>
        <w:widowControl w:val="0"/>
        <w:tabs>
          <w:tab w:val="left" w:pos="567"/>
          <w:tab w:val="left" w:pos="851"/>
          <w:tab w:val="left" w:pos="992"/>
          <w:tab w:val="left" w:pos="1134"/>
        </w:tabs>
        <w:spacing w:line="259" w:lineRule="auto"/>
        <w:jc w:val="both"/>
        <w:rPr>
          <w:lang w:val="fi-FI"/>
        </w:rPr>
      </w:pPr>
      <w:r>
        <w:rPr>
          <w:lang w:val="fi-FI"/>
        </w:rPr>
        <w:t>1.1.1.18.</w:t>
      </w:r>
      <w:r>
        <w:rPr>
          <w:lang w:val="fi-FI"/>
        </w:rPr>
        <w:tab/>
      </w:r>
      <w:r>
        <w:rPr>
          <w:lang w:val="fi-FI"/>
        </w:rPr>
        <w:t>Sutartyje neapibrėžtos sąvokos suprantamos ir aiškinamos taip, kaip jas apibrėžia VPĮ ir kiti įstatymai bei teisės aktai, galiojantys Sutarties sudarymo ir vykdymo metu.</w:t>
      </w:r>
    </w:p>
    <w:p w14:paraId="0000055E">
      <w:pPr>
        <w:widowControl w:val="0"/>
        <w:tabs>
          <w:tab w:val="left" w:pos="567"/>
          <w:tab w:val="left" w:pos="851"/>
          <w:tab w:val="left" w:pos="992"/>
          <w:tab w:val="left" w:pos="1134"/>
        </w:tabs>
        <w:spacing w:line="259" w:lineRule="auto"/>
        <w:jc w:val="both"/>
        <w:rPr>
          <w:lang w:val="fi-FI"/>
        </w:rPr>
      </w:pPr>
      <w:r>
        <w:rPr>
          <w:lang w:val="fi-FI"/>
        </w:rPr>
        <w:t>1.1.1.19.</w:t>
      </w:r>
      <w:r>
        <w:rPr>
          <w:lang w:val="fi-FI"/>
        </w:rPr>
        <w:tab/>
      </w:r>
      <w:r>
        <w:rPr>
          <w:lang w:val="fi-FI"/>
        </w:rPr>
        <w:t>Kitos Sutartyje vartojamos sąvokos ir terminai turi bendrinę reikšmę arba artimiausią Sutarties pobūdžiui specialiąją reikšmę, jei Sutartyje nėra nustatyta ir paaiškinta kitokia jų reikšmė.</w:t>
      </w:r>
    </w:p>
    <w:p w14:paraId="0000055F">
      <w:pPr>
        <w:widowControl w:val="0"/>
        <w:tabs>
          <w:tab w:val="left" w:pos="567"/>
          <w:tab w:val="left" w:pos="851"/>
          <w:tab w:val="left" w:pos="992"/>
          <w:tab w:val="left" w:pos="1134"/>
        </w:tabs>
        <w:spacing w:line="259" w:lineRule="auto"/>
        <w:jc w:val="both"/>
        <w:rPr>
          <w:lang w:val="fi-FI"/>
        </w:rPr>
      </w:pPr>
    </w:p>
    <w:p w14:paraId="00000560">
      <w:pPr>
        <w:keepNext/>
        <w:keepLines/>
        <w:tabs>
          <w:tab w:val="left" w:pos="567"/>
        </w:tabs>
        <w:spacing w:line="259" w:lineRule="auto"/>
        <w:jc w:val="center"/>
        <w:rPr>
          <w:b/>
          <w:lang w:val="fi-FI"/>
        </w:rPr>
      </w:pPr>
      <w:r>
        <w:rPr>
          <w:b/>
          <w:lang w:val="fi-FI"/>
        </w:rPr>
        <w:t>1.2.</w:t>
      </w:r>
      <w:r>
        <w:rPr>
          <w:b/>
          <w:lang w:val="fi-FI"/>
        </w:rPr>
        <w:tab/>
      </w:r>
      <w:r>
        <w:rPr>
          <w:b/>
          <w:lang w:val="fi-FI"/>
        </w:rPr>
        <w:t>Sutarties aiškinimas</w:t>
      </w:r>
    </w:p>
    <w:p w14:paraId="00000561">
      <w:pPr>
        <w:keepNext/>
        <w:keepLines/>
        <w:tabs>
          <w:tab w:val="left" w:pos="567"/>
        </w:tabs>
        <w:spacing w:line="259" w:lineRule="auto"/>
        <w:ind w:left="792"/>
        <w:jc w:val="both"/>
        <w:rPr>
          <w:b/>
          <w:lang w:val="fi-FI"/>
        </w:rPr>
      </w:pPr>
    </w:p>
    <w:p w14:paraId="00000562">
      <w:pPr>
        <w:widowControl w:val="0"/>
        <w:tabs>
          <w:tab w:val="left" w:pos="567"/>
          <w:tab w:val="left" w:pos="851"/>
          <w:tab w:val="left" w:pos="992"/>
          <w:tab w:val="left" w:pos="1134"/>
        </w:tabs>
        <w:spacing w:line="259" w:lineRule="auto"/>
        <w:jc w:val="both"/>
        <w:rPr>
          <w:lang w:val="fi-FI"/>
        </w:rPr>
      </w:pPr>
      <w:r>
        <w:rPr>
          <w:lang w:val="fi-FI"/>
        </w:rPr>
        <w:t>1.2.1.</w:t>
      </w:r>
      <w:r>
        <w:rPr>
          <w:lang w:val="fi-FI"/>
        </w:rPr>
        <w:tab/>
      </w:r>
      <w:r>
        <w:rPr>
          <w:lang w:val="fi-FI"/>
        </w:rPr>
        <w:t>Sutartis yra sudaryta ir turi būti aiškinama pagal Lietuvos Respublikos teisės aktus.</w:t>
      </w:r>
    </w:p>
    <w:p w14:paraId="00000563">
      <w:pPr>
        <w:widowControl w:val="0"/>
        <w:tabs>
          <w:tab w:val="left" w:pos="567"/>
          <w:tab w:val="left" w:pos="851"/>
          <w:tab w:val="left" w:pos="992"/>
          <w:tab w:val="left" w:pos="1134"/>
        </w:tabs>
        <w:spacing w:line="259" w:lineRule="auto"/>
        <w:jc w:val="both"/>
        <w:rPr>
          <w:lang w:val="fi-FI"/>
        </w:rPr>
      </w:pPr>
      <w:r>
        <w:rPr>
          <w:lang w:val="fi-FI"/>
        </w:rPr>
        <w:t>1.2.2.</w:t>
      </w:r>
      <w:r>
        <w:rPr>
          <w:lang w:val="fi-FI"/>
        </w:rPr>
        <w:tab/>
      </w:r>
      <w:r>
        <w:rPr>
          <w:lang w:val="fi-FI"/>
        </w:rPr>
        <w:t xml:space="preserve">Jei Bendrosios sąlygos ir (ar) Specialiosios sąlygos prieštarauja VPĮ ir kitų teisės aktų reikalavimams, taikomos VPĮ ir kitų teisės aktų nuostatos. </w:t>
      </w:r>
    </w:p>
    <w:p w14:paraId="00000564">
      <w:pPr>
        <w:widowControl w:val="0"/>
        <w:tabs>
          <w:tab w:val="left" w:pos="567"/>
          <w:tab w:val="left" w:pos="851"/>
          <w:tab w:val="left" w:pos="992"/>
          <w:tab w:val="left" w:pos="1134"/>
        </w:tabs>
        <w:spacing w:line="259" w:lineRule="auto"/>
        <w:jc w:val="both"/>
        <w:rPr>
          <w:lang w:val="fi-FI"/>
        </w:rPr>
      </w:pPr>
      <w:r>
        <w:rPr>
          <w:lang w:val="fi-FI"/>
        </w:rPr>
        <w:t>1.2.3.</w:t>
      </w:r>
      <w:r>
        <w:rPr>
          <w:lang w:val="fi-FI"/>
        </w:rPr>
        <w:tab/>
      </w:r>
      <w:r>
        <w:rPr>
          <w:lang w:val="fi-FI"/>
        </w:rPr>
        <w:t>Diena Sutartyje reiškia kalendorinę dieną.</w:t>
      </w:r>
    </w:p>
    <w:p w14:paraId="00000565">
      <w:pPr>
        <w:widowControl w:val="0"/>
        <w:tabs>
          <w:tab w:val="left" w:pos="567"/>
          <w:tab w:val="left" w:pos="851"/>
          <w:tab w:val="left" w:pos="992"/>
          <w:tab w:val="left" w:pos="1134"/>
        </w:tabs>
        <w:spacing w:line="259" w:lineRule="auto"/>
        <w:jc w:val="both"/>
        <w:rPr>
          <w:lang w:val="fi-FI"/>
        </w:rPr>
      </w:pPr>
      <w:r>
        <w:rPr>
          <w:lang w:val="fi-FI"/>
        </w:rPr>
        <w:t>1.2.4.</w:t>
      </w:r>
      <w:r>
        <w:rPr>
          <w:lang w:val="fi-FI"/>
        </w:rPr>
        <w:tab/>
      </w:r>
      <w:r>
        <w:rPr>
          <w:lang w:val="fi-FI"/>
        </w:rPr>
        <w:t>Darbo diena Sutartyje reiškia bet kurią dieną, išskyrus šeštadienį, sekmadienį ir švenčių dienas Lietuvoje, nurodytas Lietuvos Respublikos darbo kodekse.</w:t>
      </w:r>
    </w:p>
    <w:p w14:paraId="00000566">
      <w:pPr>
        <w:widowControl w:val="0"/>
        <w:tabs>
          <w:tab w:val="left" w:pos="567"/>
          <w:tab w:val="left" w:pos="851"/>
          <w:tab w:val="left" w:pos="992"/>
          <w:tab w:val="left" w:pos="1134"/>
        </w:tabs>
        <w:spacing w:line="259" w:lineRule="auto"/>
        <w:jc w:val="both"/>
        <w:rPr>
          <w:lang w:val="fi-FI"/>
        </w:rPr>
      </w:pPr>
      <w:r>
        <w:rPr>
          <w:lang w:val="fi-FI"/>
        </w:rPr>
        <w:t>1.2.5.</w:t>
      </w:r>
      <w:r>
        <w:rPr>
          <w:lang w:val="fi-FI"/>
        </w:rPr>
        <w:tab/>
      </w:r>
      <w:r>
        <w:rPr>
          <w:lang w:val="fi-FI"/>
        </w:rPr>
        <w:t>Terminai pagal Sutartį yra skaičiuojami metais, mėnesiais, savaitėmis, darbo dienomis, kalendorinėmis dienomis ir valandomis.</w:t>
      </w:r>
    </w:p>
    <w:p w14:paraId="00000567">
      <w:pPr>
        <w:widowControl w:val="0"/>
        <w:tabs>
          <w:tab w:val="left" w:pos="567"/>
          <w:tab w:val="left" w:pos="851"/>
          <w:tab w:val="left" w:pos="992"/>
          <w:tab w:val="left" w:pos="1134"/>
        </w:tabs>
        <w:spacing w:line="259" w:lineRule="auto"/>
        <w:jc w:val="both"/>
        <w:rPr>
          <w:lang w:val="fi-FI"/>
        </w:rPr>
      </w:pPr>
      <w:r>
        <w:rPr>
          <w:lang w:val="fi-FI"/>
        </w:rPr>
        <w:t>1.2.6.</w:t>
      </w:r>
      <w:r>
        <w:rPr>
          <w:lang w:val="fi-FI"/>
        </w:rPr>
        <w:tab/>
      </w:r>
      <w:r>
        <w:rPr>
          <w:lang w:val="fi-FI"/>
        </w:rPr>
        <w:t>Kvalifikacija, rėmimasis kitų ūkio subjektų pajėgumais, Prekių apimtis, peržiūra suprantami taip, kaip nustatyta VPĮ bei jį įgyvendinančiuose teisės aktuose.</w:t>
      </w:r>
    </w:p>
    <w:p w14:paraId="00000568">
      <w:pPr>
        <w:widowControl w:val="0"/>
        <w:tabs>
          <w:tab w:val="left" w:pos="567"/>
          <w:tab w:val="left" w:pos="851"/>
          <w:tab w:val="left" w:pos="992"/>
          <w:tab w:val="left" w:pos="1134"/>
        </w:tabs>
        <w:spacing w:line="259" w:lineRule="auto"/>
        <w:jc w:val="both"/>
        <w:rPr>
          <w:lang w:val="fi-FI"/>
        </w:rPr>
      </w:pPr>
      <w:r>
        <w:rPr>
          <w:lang w:val="fi-FI"/>
        </w:rPr>
        <w:t>1.2.7.</w:t>
      </w:r>
      <w:r>
        <w:rPr>
          <w:lang w:val="fi-FI"/>
        </w:rPr>
        <w:tab/>
      </w:r>
      <w:r>
        <w:rPr>
          <w:lang w:val="fi-FI"/>
        </w:rPr>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0000569">
      <w:pPr>
        <w:widowControl w:val="0"/>
        <w:tabs>
          <w:tab w:val="left" w:pos="567"/>
          <w:tab w:val="left" w:pos="851"/>
          <w:tab w:val="left" w:pos="992"/>
          <w:tab w:val="left" w:pos="1134"/>
        </w:tabs>
        <w:spacing w:line="259" w:lineRule="auto"/>
        <w:jc w:val="both"/>
        <w:rPr>
          <w:lang w:val="fi-FI"/>
        </w:rPr>
      </w:pPr>
      <w:r>
        <w:rPr>
          <w:lang w:val="fi-FI"/>
        </w:rPr>
        <w:t>1.2.8.</w:t>
      </w:r>
      <w:r>
        <w:rPr>
          <w:lang w:val="fi-FI"/>
        </w:rPr>
        <w:tab/>
      </w:r>
      <w:r>
        <w:rPr>
          <w:lang w:val="fi-FI"/>
        </w:rPr>
        <w:t>Informuoti, pranešti, įspėti arba atsakyti reiškia pateikti informaciją, pranešimą, įspėjimą arba atsakymą Bendrosiose ir (ar) Specialiosiose sąlygose nustatyta tvarka.</w:t>
      </w:r>
    </w:p>
    <w:p w14:paraId="0000056A">
      <w:pPr>
        <w:widowControl w:val="0"/>
        <w:tabs>
          <w:tab w:val="left" w:pos="567"/>
          <w:tab w:val="left" w:pos="851"/>
          <w:tab w:val="left" w:pos="992"/>
          <w:tab w:val="left" w:pos="1134"/>
        </w:tabs>
        <w:spacing w:line="259" w:lineRule="auto"/>
        <w:jc w:val="both"/>
        <w:rPr>
          <w:lang w:val="fi-FI"/>
        </w:rPr>
      </w:pPr>
      <w:r>
        <w:rPr>
          <w:lang w:val="fi-FI"/>
        </w:rPr>
        <w:t>1.2.9.</w:t>
      </w:r>
      <w:r>
        <w:rPr>
          <w:lang w:val="fi-FI"/>
        </w:rPr>
        <w:tab/>
      </w:r>
      <w:r>
        <w:rPr>
          <w:lang w:val="fi-FI"/>
        </w:rPr>
        <w:t>Patvirtinti reiškia pateikti patvirtinimą raštu arba pasirašyti dokumentą be išlygų ar su išlygomis, išskyrus atvejus, kai asmuo, pasirašydamas dokumentą, nurodo, jog atsisako jį patvirtinti.</w:t>
      </w:r>
    </w:p>
    <w:p w14:paraId="0000056B">
      <w:pPr>
        <w:widowControl w:val="0"/>
        <w:tabs>
          <w:tab w:val="left" w:pos="567"/>
          <w:tab w:val="left" w:pos="851"/>
          <w:tab w:val="left" w:pos="992"/>
          <w:tab w:val="left" w:pos="1134"/>
        </w:tabs>
        <w:spacing w:line="259" w:lineRule="auto"/>
        <w:jc w:val="both"/>
        <w:rPr>
          <w:color w:val="000000"/>
          <w:lang w:val="fi-FI"/>
        </w:rPr>
      </w:pPr>
      <w:r>
        <w:rPr>
          <w:color w:val="000000"/>
          <w:lang w:val="fi-FI"/>
        </w:rPr>
        <w:t>1.2.10.</w:t>
      </w:r>
      <w:r>
        <w:rPr>
          <w:color w:val="000000"/>
          <w:lang w:val="fi-FI"/>
        </w:rPr>
        <w:tab/>
      </w:r>
      <w:r>
        <w:rPr>
          <w:color w:val="000000"/>
          <w:highlight w:val="white"/>
          <w:lang w:val="fi-FI"/>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000056C">
      <w:pPr>
        <w:widowControl w:val="0"/>
        <w:tabs>
          <w:tab w:val="left" w:pos="567"/>
          <w:tab w:val="left" w:pos="851"/>
          <w:tab w:val="left" w:pos="992"/>
          <w:tab w:val="left" w:pos="1134"/>
        </w:tabs>
        <w:spacing w:line="259" w:lineRule="auto"/>
        <w:jc w:val="both"/>
        <w:rPr>
          <w:color w:val="000000"/>
          <w:lang w:val="fi-FI"/>
        </w:rPr>
      </w:pPr>
      <w:r>
        <w:rPr>
          <w:color w:val="000000"/>
          <w:lang w:val="fi-FI"/>
        </w:rPr>
        <w:t>1.2.11.</w:t>
      </w:r>
      <w:r>
        <w:rPr>
          <w:color w:val="000000"/>
          <w:lang w:val="fi-FI"/>
        </w:rPr>
        <w:tab/>
      </w:r>
      <w:r>
        <w:rPr>
          <w:color w:val="000000"/>
          <w:highlight w:val="white"/>
          <w:lang w:val="fi-FI"/>
        </w:rPr>
        <w:t>Jeigu Sutartyje nurodyta reikšmė skaičiais ir žodžiais skiriasi, vadovaujamasi žodžiais nurodyta reikšme.</w:t>
      </w:r>
    </w:p>
    <w:p w14:paraId="0000056D">
      <w:pPr>
        <w:widowControl w:val="0"/>
        <w:tabs>
          <w:tab w:val="left" w:pos="567"/>
          <w:tab w:val="left" w:pos="851"/>
          <w:tab w:val="left" w:pos="992"/>
          <w:tab w:val="left" w:pos="1134"/>
        </w:tabs>
        <w:spacing w:line="259" w:lineRule="auto"/>
        <w:jc w:val="both"/>
        <w:rPr>
          <w:color w:val="000000"/>
          <w:lang w:val="fi-FI"/>
        </w:rPr>
      </w:pPr>
      <w:r>
        <w:rPr>
          <w:color w:val="000000"/>
          <w:lang w:val="fi-FI"/>
        </w:rPr>
        <w:t>1.2.12.</w:t>
      </w:r>
      <w:r>
        <w:rPr>
          <w:color w:val="000000"/>
          <w:lang w:val="fi-FI"/>
        </w:rPr>
        <w:tab/>
      </w:r>
      <w:r>
        <w:rPr>
          <w:color w:val="000000"/>
          <w:highlight w:val="white"/>
          <w:lang w:val="fi-FI"/>
        </w:rPr>
        <w:t>Jei pateikiamos nuorodos į teisės aktus, turi būti taikomos aktualios teisės aktų redakcijos, jeigu nenurodyta kitaip.</w:t>
      </w:r>
    </w:p>
    <w:p w14:paraId="0000056E">
      <w:pPr>
        <w:widowControl w:val="0"/>
        <w:tabs>
          <w:tab w:val="left" w:pos="567"/>
          <w:tab w:val="left" w:pos="851"/>
          <w:tab w:val="left" w:pos="992"/>
          <w:tab w:val="left" w:pos="1134"/>
        </w:tabs>
        <w:spacing w:line="259" w:lineRule="auto"/>
        <w:jc w:val="both"/>
        <w:rPr>
          <w:color w:val="000000"/>
          <w:lang w:val="fi-FI"/>
        </w:rPr>
      </w:pPr>
    </w:p>
    <w:p w14:paraId="0000056F">
      <w:pPr>
        <w:keepNext/>
        <w:keepLines/>
        <w:widowControl w:val="0"/>
        <w:tabs>
          <w:tab w:val="left" w:pos="426"/>
          <w:tab w:val="left" w:pos="567"/>
          <w:tab w:val="left" w:pos="851"/>
          <w:tab w:val="left" w:pos="992"/>
          <w:tab w:val="left" w:pos="1134"/>
        </w:tabs>
        <w:spacing w:line="259" w:lineRule="auto"/>
        <w:jc w:val="center"/>
        <w:rPr>
          <w:b/>
          <w:lang w:val="fi-FI"/>
        </w:rPr>
      </w:pPr>
      <w:r>
        <w:rPr>
          <w:b/>
          <w:lang w:val="fi-FI"/>
        </w:rPr>
        <w:t>1.3.</w:t>
      </w:r>
      <w:r>
        <w:rPr>
          <w:b/>
          <w:lang w:val="fi-FI"/>
        </w:rPr>
        <w:tab/>
      </w:r>
      <w:r>
        <w:rPr>
          <w:b/>
          <w:lang w:val="fi-FI"/>
        </w:rPr>
        <w:t>Dokumentų viršenybė</w:t>
      </w:r>
    </w:p>
    <w:p w14:paraId="00000570">
      <w:pPr>
        <w:keepNext/>
        <w:keepLines/>
        <w:widowControl w:val="0"/>
        <w:tabs>
          <w:tab w:val="left" w:pos="426"/>
          <w:tab w:val="left" w:pos="567"/>
          <w:tab w:val="left" w:pos="851"/>
          <w:tab w:val="left" w:pos="992"/>
          <w:tab w:val="left" w:pos="1134"/>
        </w:tabs>
        <w:spacing w:line="259" w:lineRule="auto"/>
        <w:jc w:val="both"/>
        <w:rPr>
          <w:b/>
          <w:lang w:val="fi-FI"/>
        </w:rPr>
      </w:pPr>
    </w:p>
    <w:p w14:paraId="00000571">
      <w:pPr>
        <w:widowControl w:val="0"/>
        <w:tabs>
          <w:tab w:val="left" w:pos="567"/>
          <w:tab w:val="left" w:pos="851"/>
          <w:tab w:val="left" w:pos="992"/>
          <w:tab w:val="left" w:pos="1134"/>
        </w:tabs>
        <w:spacing w:line="259" w:lineRule="auto"/>
        <w:jc w:val="both"/>
        <w:rPr>
          <w:lang w:val="fi-FI"/>
        </w:rPr>
      </w:pPr>
      <w:r>
        <w:rPr>
          <w:lang w:val="fi-FI"/>
        </w:rPr>
        <w:t>1.3.1.</w:t>
      </w:r>
      <w:r>
        <w:rPr>
          <w:lang w:val="fi-FI"/>
        </w:rPr>
        <w:tab/>
      </w:r>
      <w:r>
        <w:rPr>
          <w:lang w:val="fi-FI"/>
        </w:rPr>
        <w:t>Sutartį sudarantys dokumentai turi būti suprantami kaip papildantys vienas kitą. Bet kokio Sutarties dokumentų sąlygų neatitikimo ar neaiškumo atveju, toks neatitikimas ar neaiškumas pašalinamas dokumentus aiškinant tokia eilės tvarka:</w:t>
      </w:r>
    </w:p>
    <w:p w14:paraId="00000572">
      <w:pPr>
        <w:tabs>
          <w:tab w:val="left" w:pos="709"/>
        </w:tabs>
        <w:spacing w:line="276" w:lineRule="auto"/>
        <w:jc w:val="both"/>
        <w:rPr>
          <w:color w:val="000000"/>
          <w:lang w:val="fi-FI"/>
        </w:rPr>
      </w:pPr>
      <w:r>
        <w:rPr>
          <w:color w:val="000000"/>
          <w:lang w:val="fi-FI"/>
        </w:rPr>
        <w:t>1.3.1.1. Techninė specifikacija;</w:t>
      </w:r>
    </w:p>
    <w:p w14:paraId="00000573">
      <w:pPr>
        <w:tabs>
          <w:tab w:val="left" w:pos="709"/>
        </w:tabs>
        <w:spacing w:line="276" w:lineRule="auto"/>
        <w:jc w:val="both"/>
        <w:rPr>
          <w:color w:val="000000"/>
          <w:lang w:val="fi-FI"/>
        </w:rPr>
      </w:pPr>
      <w:r>
        <w:rPr>
          <w:color w:val="000000"/>
          <w:lang w:val="fi-FI"/>
        </w:rPr>
        <w:t>1.3.1.2. Specialiosios sąlygos;</w:t>
      </w:r>
    </w:p>
    <w:p w14:paraId="00000574">
      <w:pPr>
        <w:tabs>
          <w:tab w:val="left" w:pos="709"/>
        </w:tabs>
        <w:spacing w:line="276" w:lineRule="auto"/>
        <w:jc w:val="both"/>
        <w:rPr>
          <w:color w:val="000000"/>
          <w:lang w:val="fi-FI"/>
        </w:rPr>
      </w:pPr>
      <w:r>
        <w:rPr>
          <w:color w:val="000000"/>
          <w:lang w:val="fi-FI"/>
        </w:rPr>
        <w:t>1.3.1.3. Bendrosios sąlygos;</w:t>
      </w:r>
    </w:p>
    <w:p w14:paraId="00000575">
      <w:pPr>
        <w:tabs>
          <w:tab w:val="left" w:pos="709"/>
        </w:tabs>
        <w:spacing w:line="276" w:lineRule="auto"/>
        <w:jc w:val="both"/>
        <w:rPr>
          <w:color w:val="000000"/>
          <w:lang w:val="fi-FI"/>
        </w:rPr>
      </w:pPr>
      <w:r>
        <w:rPr>
          <w:color w:val="000000"/>
          <w:lang w:val="fi-FI"/>
        </w:rPr>
        <w:t>1.3.1.4. Pirkimo dokumentai (išskyrus techninę specifikaciją);</w:t>
      </w:r>
    </w:p>
    <w:p w14:paraId="00000576">
      <w:pPr>
        <w:tabs>
          <w:tab w:val="left" w:pos="709"/>
        </w:tabs>
        <w:spacing w:line="276" w:lineRule="auto"/>
        <w:jc w:val="both"/>
        <w:rPr>
          <w:color w:val="000000"/>
          <w:lang w:val="fi-FI"/>
        </w:rPr>
      </w:pPr>
      <w:r>
        <w:rPr>
          <w:color w:val="000000"/>
          <w:lang w:val="fi-FI"/>
        </w:rPr>
        <w:t>1.3.1.5. Pasiūlymas;</w:t>
      </w:r>
    </w:p>
    <w:p w14:paraId="00000577">
      <w:pPr>
        <w:tabs>
          <w:tab w:val="left" w:pos="709"/>
        </w:tabs>
        <w:spacing w:line="276" w:lineRule="auto"/>
        <w:jc w:val="both"/>
        <w:rPr>
          <w:color w:val="000000"/>
          <w:lang w:val="fi-FI"/>
        </w:rPr>
      </w:pPr>
      <w:r>
        <w:rPr>
          <w:color w:val="000000"/>
          <w:lang w:val="fi-FI"/>
        </w:rPr>
        <w:t>1.3.1.6. Kiti Specialiosiose sąlygose išvardinti priedai.</w:t>
      </w:r>
    </w:p>
    <w:p w14:paraId="00000578">
      <w:pPr>
        <w:widowControl w:val="0"/>
        <w:tabs>
          <w:tab w:val="left" w:pos="567"/>
          <w:tab w:val="left" w:pos="851"/>
          <w:tab w:val="left" w:pos="992"/>
          <w:tab w:val="left" w:pos="1134"/>
        </w:tabs>
        <w:spacing w:line="259" w:lineRule="auto"/>
        <w:jc w:val="both"/>
        <w:rPr>
          <w:lang w:val="fi-FI"/>
        </w:rPr>
      </w:pPr>
      <w:r>
        <w:rPr>
          <w:lang w:val="fi-FI"/>
        </w:rPr>
        <w:t>1.3.2.</w:t>
      </w:r>
      <w:r>
        <w:rPr>
          <w:lang w:val="fi-FI"/>
        </w:rPr>
        <w:tab/>
      </w:r>
      <w:r>
        <w:rPr>
          <w:lang w:val="fi-FI"/>
        </w:rPr>
        <w:t xml:space="preserve"> Tuo atveju, kai Šalių Susitarimu yra keičiamos Sutarties sąlygos, naujai sutartos Sutarties sąlygos turi viršenybę prieš pakeistąsias.</w:t>
      </w:r>
    </w:p>
    <w:p w14:paraId="00000579">
      <w:pPr>
        <w:widowControl w:val="0"/>
        <w:tabs>
          <w:tab w:val="left" w:pos="567"/>
          <w:tab w:val="left" w:pos="851"/>
          <w:tab w:val="left" w:pos="992"/>
          <w:tab w:val="left" w:pos="1134"/>
        </w:tabs>
        <w:spacing w:line="259" w:lineRule="auto"/>
        <w:jc w:val="both"/>
        <w:rPr>
          <w:lang w:val="fi-FI"/>
        </w:rPr>
      </w:pPr>
      <w:r>
        <w:rPr>
          <w:lang w:val="fi-FI"/>
        </w:rPr>
        <w:t>1.3.3.</w:t>
      </w:r>
      <w:r>
        <w:rPr>
          <w:lang w:val="fi-FI"/>
        </w:rPr>
        <w:tab/>
      </w:r>
      <w:r>
        <w:rPr>
          <w:lang w:val="fi-FI"/>
        </w:rPr>
        <w:t>Jeigu Šalys susitaria dėl Sutarties sąlygų arba priedo papildymo nauja sąlyga, neatitikimo ar neaiškumo atveju tokia sąlyga turi viršenybę atitinkamai kitų Sutarties sąlygų arba kitų to priedo sąlygų atžvilgiu.</w:t>
      </w:r>
    </w:p>
    <w:p w14:paraId="0000057A">
      <w:pPr>
        <w:widowControl w:val="0"/>
        <w:tabs>
          <w:tab w:val="left" w:pos="567"/>
          <w:tab w:val="left" w:pos="851"/>
          <w:tab w:val="left" w:pos="992"/>
          <w:tab w:val="left" w:pos="1134"/>
        </w:tabs>
        <w:spacing w:line="259" w:lineRule="auto"/>
        <w:jc w:val="both"/>
        <w:rPr>
          <w:lang w:val="fi-FI"/>
        </w:rPr>
      </w:pPr>
      <w:r>
        <w:rPr>
          <w:lang w:val="fi-FI"/>
        </w:rPr>
        <w:t>1.3.4.</w:t>
      </w:r>
      <w:r>
        <w:rPr>
          <w:lang w:val="fi-FI"/>
        </w:rPr>
        <w:tab/>
      </w:r>
      <w:r>
        <w:rPr>
          <w:lang w:val="fi-FI"/>
        </w:rPr>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vertAlign w:val="superscript"/>
          <w:lang w:val="fi-FI"/>
        </w:rPr>
        <w:t>1</w:t>
      </w:r>
      <w:r>
        <w:rPr>
          <w:lang w:val="fi-FI"/>
        </w:rPr>
        <w:t xml:space="preserve">). </w:t>
      </w:r>
    </w:p>
    <w:p w14:paraId="0000057B">
      <w:pPr>
        <w:widowControl w:val="0"/>
        <w:tabs>
          <w:tab w:val="left" w:pos="567"/>
          <w:tab w:val="left" w:pos="851"/>
          <w:tab w:val="left" w:pos="992"/>
          <w:tab w:val="left" w:pos="1134"/>
        </w:tabs>
        <w:spacing w:line="259" w:lineRule="auto"/>
        <w:jc w:val="both"/>
        <w:rPr>
          <w:lang w:val="fi-FI"/>
        </w:rPr>
      </w:pPr>
    </w:p>
    <w:p w14:paraId="0000057C">
      <w:pPr>
        <w:keepNext/>
        <w:keepLines/>
        <w:widowControl w:val="0"/>
        <w:tabs>
          <w:tab w:val="left" w:pos="284"/>
          <w:tab w:val="left" w:pos="567"/>
          <w:tab w:val="left" w:pos="851"/>
          <w:tab w:val="left" w:pos="992"/>
          <w:tab w:val="left" w:pos="1134"/>
        </w:tabs>
        <w:spacing w:line="259" w:lineRule="auto"/>
        <w:jc w:val="center"/>
        <w:rPr>
          <w:b/>
          <w:smallCaps/>
          <w:lang w:val="fi-FI"/>
        </w:rPr>
      </w:pPr>
      <w:r>
        <w:rPr>
          <w:b/>
          <w:smallCaps/>
          <w:lang w:val="fi-FI"/>
        </w:rPr>
        <w:t>2.</w:t>
      </w:r>
      <w:r>
        <w:rPr>
          <w:b/>
          <w:smallCaps/>
          <w:lang w:val="fi-FI"/>
        </w:rPr>
        <w:tab/>
      </w:r>
      <w:r>
        <w:rPr>
          <w:b/>
          <w:smallCaps/>
          <w:lang w:val="fi-FI"/>
        </w:rPr>
        <w:t>SUTARTIES DALYKAS</w:t>
      </w:r>
    </w:p>
    <w:p w14:paraId="0000057D">
      <w:pPr>
        <w:keepNext/>
        <w:keepLines/>
        <w:widowControl w:val="0"/>
        <w:tabs>
          <w:tab w:val="left" w:pos="284"/>
          <w:tab w:val="left" w:pos="567"/>
          <w:tab w:val="left" w:pos="851"/>
          <w:tab w:val="left" w:pos="992"/>
          <w:tab w:val="left" w:pos="1134"/>
        </w:tabs>
        <w:spacing w:line="259" w:lineRule="auto"/>
        <w:jc w:val="both"/>
        <w:rPr>
          <w:b/>
          <w:smallCaps/>
          <w:lang w:val="fi-FI"/>
        </w:rPr>
      </w:pPr>
    </w:p>
    <w:p w14:paraId="0000057E">
      <w:pPr>
        <w:widowControl w:val="0"/>
        <w:tabs>
          <w:tab w:val="left" w:pos="426"/>
          <w:tab w:val="left" w:pos="567"/>
          <w:tab w:val="left" w:pos="851"/>
          <w:tab w:val="left" w:pos="992"/>
          <w:tab w:val="left" w:pos="1134"/>
        </w:tabs>
        <w:spacing w:line="259" w:lineRule="auto"/>
        <w:jc w:val="both"/>
        <w:rPr>
          <w:lang w:val="fi-FI"/>
        </w:rPr>
      </w:pPr>
      <w:r>
        <w:rPr>
          <w:lang w:val="fi-FI"/>
        </w:rPr>
        <w:t>2.1.</w:t>
      </w:r>
      <w:r>
        <w:rPr>
          <w:lang w:val="fi-FI"/>
        </w:rPr>
        <w:tab/>
      </w:r>
      <w:r>
        <w:rPr>
          <w:lang w:val="fi-FI"/>
        </w:rPr>
        <w:t xml:space="preserve">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 </w:t>
      </w:r>
    </w:p>
    <w:p w14:paraId="0000057F">
      <w:pPr>
        <w:widowControl w:val="0"/>
        <w:tabs>
          <w:tab w:val="left" w:pos="426"/>
          <w:tab w:val="left" w:pos="567"/>
          <w:tab w:val="left" w:pos="851"/>
          <w:tab w:val="left" w:pos="992"/>
          <w:tab w:val="left" w:pos="1134"/>
        </w:tabs>
        <w:spacing w:line="259" w:lineRule="auto"/>
        <w:jc w:val="both"/>
        <w:rPr>
          <w:lang w:val="fi-FI"/>
        </w:rPr>
      </w:pPr>
      <w:r>
        <w:rPr>
          <w:lang w:val="fi-FI"/>
        </w:rPr>
        <w:t>2.2.</w:t>
      </w:r>
      <w:r>
        <w:rPr>
          <w:lang w:val="fi-FI"/>
        </w:rPr>
        <w:tab/>
      </w:r>
      <w:r>
        <w:rPr>
          <w:lang w:val="fi-FI"/>
        </w:rPr>
        <w:t>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0000580">
      <w:pPr>
        <w:widowControl w:val="0"/>
        <w:tabs>
          <w:tab w:val="left" w:pos="426"/>
          <w:tab w:val="left" w:pos="567"/>
          <w:tab w:val="left" w:pos="851"/>
          <w:tab w:val="left" w:pos="992"/>
          <w:tab w:val="left" w:pos="1134"/>
        </w:tabs>
        <w:spacing w:line="259" w:lineRule="auto"/>
        <w:jc w:val="both"/>
        <w:rPr>
          <w:lang w:val="fi-FI"/>
        </w:rPr>
      </w:pPr>
      <w:r>
        <w:rPr>
          <w:lang w:val="fi-FI"/>
        </w:rPr>
        <w:t>2.3.</w:t>
      </w:r>
      <w:r>
        <w:rPr>
          <w:lang w:val="fi-FI"/>
        </w:rPr>
        <w:tab/>
      </w:r>
      <w:r>
        <w:rPr>
          <w:lang w:val="fi-FI"/>
        </w:rPr>
        <w:t xml:space="preserve">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 </w:t>
      </w:r>
    </w:p>
    <w:p w14:paraId="00000581">
      <w:pPr>
        <w:widowControl w:val="0"/>
        <w:tabs>
          <w:tab w:val="left" w:pos="426"/>
          <w:tab w:val="left" w:pos="567"/>
          <w:tab w:val="left" w:pos="851"/>
          <w:tab w:val="left" w:pos="992"/>
          <w:tab w:val="left" w:pos="1134"/>
        </w:tabs>
        <w:spacing w:line="259" w:lineRule="auto"/>
        <w:jc w:val="both"/>
        <w:rPr>
          <w:lang w:val="fi-FI"/>
        </w:rPr>
      </w:pPr>
    </w:p>
    <w:p w14:paraId="00000582">
      <w:pPr>
        <w:keepNext/>
        <w:keepLines/>
        <w:widowControl w:val="0"/>
        <w:tabs>
          <w:tab w:val="left" w:pos="284"/>
          <w:tab w:val="left" w:pos="567"/>
          <w:tab w:val="left" w:pos="851"/>
          <w:tab w:val="left" w:pos="992"/>
          <w:tab w:val="left" w:pos="1134"/>
        </w:tabs>
        <w:spacing w:line="259" w:lineRule="auto"/>
        <w:jc w:val="center"/>
        <w:rPr>
          <w:b/>
          <w:smallCaps/>
          <w:lang w:val="fi-FI"/>
        </w:rPr>
      </w:pPr>
      <w:r>
        <w:rPr>
          <w:b/>
          <w:smallCaps/>
          <w:lang w:val="fi-FI"/>
        </w:rPr>
        <w:t>3.</w:t>
      </w:r>
      <w:r>
        <w:rPr>
          <w:b/>
          <w:smallCaps/>
          <w:lang w:val="fi-FI"/>
        </w:rPr>
        <w:tab/>
      </w:r>
      <w:r>
        <w:rPr>
          <w:b/>
          <w:smallCaps/>
          <w:lang w:val="fi-FI"/>
        </w:rPr>
        <w:t>TIEKĖJAS IR KITI SUTARTIES VYKDYMUI PASITELKIAMI ASMENYS</w:t>
      </w:r>
    </w:p>
    <w:p w14:paraId="00000583">
      <w:pPr>
        <w:keepNext/>
        <w:keepLines/>
        <w:widowControl w:val="0"/>
        <w:tabs>
          <w:tab w:val="left" w:pos="284"/>
          <w:tab w:val="left" w:pos="567"/>
          <w:tab w:val="left" w:pos="851"/>
          <w:tab w:val="left" w:pos="992"/>
          <w:tab w:val="left" w:pos="1134"/>
        </w:tabs>
        <w:spacing w:line="259" w:lineRule="auto"/>
        <w:rPr>
          <w:b/>
          <w:smallCaps/>
          <w:lang w:val="fi-FI"/>
        </w:rPr>
      </w:pPr>
    </w:p>
    <w:p w14:paraId="00000584">
      <w:pPr>
        <w:keepNext/>
        <w:keepLines/>
        <w:widowControl w:val="0"/>
        <w:tabs>
          <w:tab w:val="left" w:pos="0"/>
          <w:tab w:val="left" w:pos="426"/>
          <w:tab w:val="left" w:pos="567"/>
          <w:tab w:val="left" w:pos="851"/>
          <w:tab w:val="left" w:pos="992"/>
          <w:tab w:val="left" w:pos="1134"/>
        </w:tabs>
        <w:spacing w:line="259" w:lineRule="auto"/>
        <w:jc w:val="center"/>
        <w:rPr>
          <w:b/>
          <w:lang w:val="fi-FI"/>
        </w:rPr>
      </w:pPr>
      <w:r>
        <w:rPr>
          <w:b/>
          <w:lang w:val="fi-FI"/>
        </w:rPr>
        <w:t>3.1.</w:t>
      </w:r>
      <w:r>
        <w:rPr>
          <w:b/>
          <w:lang w:val="fi-FI"/>
        </w:rPr>
        <w:tab/>
      </w:r>
      <w:r>
        <w:rPr>
          <w:b/>
          <w:lang w:val="fi-FI"/>
        </w:rPr>
        <w:t>Kvalifikacija ir kiti Tiekėjo pasiūlymu prisiimti įsipareigojimai</w:t>
      </w:r>
    </w:p>
    <w:p w14:paraId="00000585">
      <w:pPr>
        <w:keepNext/>
        <w:keepLines/>
        <w:widowControl w:val="0"/>
        <w:tabs>
          <w:tab w:val="left" w:pos="0"/>
          <w:tab w:val="left" w:pos="426"/>
          <w:tab w:val="left" w:pos="567"/>
          <w:tab w:val="left" w:pos="851"/>
          <w:tab w:val="left" w:pos="992"/>
          <w:tab w:val="left" w:pos="1134"/>
        </w:tabs>
        <w:spacing w:line="259" w:lineRule="auto"/>
        <w:jc w:val="both"/>
        <w:rPr>
          <w:b/>
          <w:lang w:val="fi-FI"/>
        </w:rPr>
      </w:pPr>
    </w:p>
    <w:p w14:paraId="00000586">
      <w:pPr>
        <w:widowControl w:val="0"/>
        <w:tabs>
          <w:tab w:val="left" w:pos="567"/>
          <w:tab w:val="left" w:pos="851"/>
          <w:tab w:val="left" w:pos="992"/>
          <w:tab w:val="left" w:pos="1134"/>
        </w:tabs>
        <w:spacing w:line="259" w:lineRule="auto"/>
        <w:jc w:val="both"/>
        <w:rPr>
          <w:lang w:val="fi-FI"/>
        </w:rPr>
      </w:pPr>
      <w:r>
        <w:rPr>
          <w:lang w:val="fi-FI"/>
        </w:rPr>
        <w:t>3.1.1.</w:t>
      </w:r>
      <w:r>
        <w:rPr>
          <w:lang w:val="fi-FI"/>
        </w:rPr>
        <w:tab/>
      </w:r>
      <w:r>
        <w:rPr>
          <w:lang w:val="fi-FI"/>
        </w:rPr>
        <w:t>Tiekėjas atsako už tai, kad visą Sutarties vykdymo laikotarpį Tiekėjas būtų kompetentingas, patikimas ir pajėgus (įskaitant ūkio subjektų, kurių pajėgumais remiasi Tiekėjas, pajėgumus) įvykdyti Sutarties reikalavimus:</w:t>
      </w:r>
    </w:p>
    <w:p w14:paraId="00000587">
      <w:pPr>
        <w:widowControl w:val="0"/>
        <w:tabs>
          <w:tab w:val="left" w:pos="567"/>
          <w:tab w:val="left" w:pos="851"/>
          <w:tab w:val="left" w:pos="992"/>
          <w:tab w:val="left" w:pos="1134"/>
        </w:tabs>
        <w:spacing w:line="259" w:lineRule="auto"/>
        <w:jc w:val="both"/>
        <w:rPr>
          <w:lang w:val="fi-FI"/>
        </w:rPr>
      </w:pPr>
      <w:r>
        <w:rPr>
          <w:lang w:val="fi-FI"/>
        </w:rPr>
        <w:t>3.1.1.1.</w:t>
      </w:r>
      <w:r>
        <w:rPr>
          <w:lang w:val="fi-FI"/>
        </w:rPr>
        <w:tab/>
      </w:r>
      <w:r>
        <w:rPr>
          <w:lang w:val="fi-FI"/>
        </w:rPr>
        <w:t>turėtų teisę verstis ta veikla, kuri yra reikalinga Sutarčiai įvykdyti;</w:t>
      </w:r>
    </w:p>
    <w:p w14:paraId="00000588">
      <w:pPr>
        <w:widowControl w:val="0"/>
        <w:tabs>
          <w:tab w:val="left" w:pos="567"/>
          <w:tab w:val="left" w:pos="851"/>
          <w:tab w:val="left" w:pos="992"/>
          <w:tab w:val="left" w:pos="1134"/>
        </w:tabs>
        <w:spacing w:line="259" w:lineRule="auto"/>
        <w:jc w:val="both"/>
        <w:rPr>
          <w:lang w:val="fi-FI"/>
        </w:rPr>
      </w:pPr>
      <w:r>
        <w:rPr>
          <w:lang w:val="fi-FI"/>
        </w:rPr>
        <w:t>3.1.1.2.</w:t>
      </w:r>
      <w:r>
        <w:rPr>
          <w:lang w:val="fi-FI"/>
        </w:rPr>
        <w:tab/>
      </w:r>
      <w:r>
        <w:rPr>
          <w:lang w:val="fi-FI"/>
        </w:rPr>
        <w:t>atitiktų tiekėjų kvalifikacijai pirkimo dokumentuose nustatytus Sutarties tinkamam vykdymui būtinus reikalavimus bei neturėtų pirkimo dokumentuose nustatytų pašalinimo pagrindų;</w:t>
      </w:r>
    </w:p>
    <w:p w14:paraId="00000589">
      <w:pPr>
        <w:widowControl w:val="0"/>
        <w:tabs>
          <w:tab w:val="left" w:pos="567"/>
          <w:tab w:val="left" w:pos="851"/>
          <w:tab w:val="left" w:pos="992"/>
          <w:tab w:val="left" w:pos="1134"/>
        </w:tabs>
        <w:spacing w:line="259" w:lineRule="auto"/>
        <w:jc w:val="both"/>
        <w:rPr>
          <w:lang w:val="fi-FI"/>
        </w:rPr>
      </w:pPr>
      <w:r>
        <w:rPr>
          <w:lang w:val="fi-FI"/>
        </w:rPr>
        <w:t>3.1.1.3.</w:t>
      </w:r>
      <w:r>
        <w:rPr>
          <w:lang w:val="fi-FI"/>
        </w:rPr>
        <w:tab/>
      </w:r>
      <w:r>
        <w:rPr>
          <w:lang w:val="fi-FI"/>
        </w:rPr>
        <w:t>laikytųsi Tiekėjo pasiūlyme nurodytų įsipareigojimų, įskaitant, bet neapsiribojant – atitiktų pirkimo dokumentuose nustatytus kokybinių kriterijų reikšmes ir parametrus;</w:t>
      </w:r>
    </w:p>
    <w:p w14:paraId="0000058A">
      <w:pPr>
        <w:widowControl w:val="0"/>
        <w:tabs>
          <w:tab w:val="left" w:pos="567"/>
          <w:tab w:val="left" w:pos="851"/>
          <w:tab w:val="left" w:pos="992"/>
          <w:tab w:val="left" w:pos="1134"/>
        </w:tabs>
        <w:spacing w:line="259" w:lineRule="auto"/>
        <w:jc w:val="both"/>
        <w:rPr>
          <w:lang w:val="fi-FI"/>
        </w:rPr>
      </w:pPr>
      <w:r>
        <w:rPr>
          <w:lang w:val="fi-FI"/>
        </w:rPr>
        <w:t>3.1.1.4.</w:t>
      </w:r>
      <w:r>
        <w:rPr>
          <w:lang w:val="fi-FI"/>
        </w:rPr>
        <w:tab/>
      </w:r>
      <w:r>
        <w:rPr>
          <w:lang w:val="fi-FI"/>
        </w:rPr>
        <w:t>užtikrintų nustatytų kokybės vadybos sistemos ir (arba) aplinkos apsaugos vadybos sistemos standartų taikymą, jeigu to reikalaujama pirkimo dokumentuose, ir turėtų tą patvirtinančius dokumentus;</w:t>
      </w:r>
    </w:p>
    <w:p w14:paraId="0000058B">
      <w:pPr>
        <w:widowControl w:val="0"/>
        <w:tabs>
          <w:tab w:val="left" w:pos="567"/>
          <w:tab w:val="left" w:pos="851"/>
          <w:tab w:val="left" w:pos="992"/>
          <w:tab w:val="left" w:pos="1134"/>
        </w:tabs>
        <w:spacing w:line="259" w:lineRule="auto"/>
        <w:jc w:val="both"/>
        <w:rPr>
          <w:lang w:val="fi-FI"/>
        </w:rPr>
      </w:pPr>
      <w:r>
        <w:rPr>
          <w:lang w:val="fi-FI"/>
        </w:rPr>
        <w:t xml:space="preserve">3.1.1.5. </w:t>
      </w:r>
      <w:r>
        <w:rPr>
          <w:color w:val="000000"/>
          <w:highlight w:val="white"/>
          <w:lang w:val="fi-FI"/>
        </w:rPr>
        <w:t>atitiktų nacionalinio saugumo interesus bei kilmės reikalavimus, jei tokie reikalavimai buvo numatyti pirkimo dokumentuose</w:t>
      </w:r>
      <w:r>
        <w:rPr>
          <w:lang w:val="fi-FI"/>
        </w:rPr>
        <w:t>.</w:t>
      </w:r>
    </w:p>
    <w:p w14:paraId="0000058C">
      <w:pPr>
        <w:widowControl w:val="0"/>
        <w:tabs>
          <w:tab w:val="left" w:pos="567"/>
          <w:tab w:val="left" w:pos="851"/>
          <w:tab w:val="left" w:pos="992"/>
          <w:tab w:val="left" w:pos="1134"/>
        </w:tabs>
        <w:spacing w:line="259" w:lineRule="auto"/>
        <w:jc w:val="both"/>
        <w:rPr>
          <w:color w:val="000000"/>
          <w:lang w:val="fi-FI"/>
        </w:rPr>
      </w:pPr>
      <w:r>
        <w:rPr>
          <w:color w:val="000000"/>
          <w:lang w:val="fi-FI"/>
        </w:rPr>
        <w:t>3.1.2.</w:t>
      </w:r>
      <w:r>
        <w:rPr>
          <w:color w:val="000000"/>
          <w:lang w:val="fi-FI"/>
        </w:rPr>
        <w:tab/>
      </w:r>
      <w:r>
        <w:rPr>
          <w:color w:val="000000"/>
          <w:lang w:val="fi-FI"/>
        </w:rPr>
        <w:t xml:space="preserve">Tuo atveju, kai Tiekėjas yra jungtinės veiklos partneriai, jie Pirkėjui už Sutarties vykdymą atsako solidariai. </w:t>
      </w:r>
      <w:r>
        <w:rPr>
          <w:color w:val="000000"/>
          <w:highlight w:val="white"/>
          <w:lang w:val="fi-FI"/>
        </w:rPr>
        <w:t xml:space="preserve">Jeigu Tiekėjas remiasi </w:t>
      </w:r>
      <w:r>
        <w:rPr>
          <w:color w:val="000000"/>
          <w:lang w:val="fi-FI"/>
        </w:rPr>
        <w:t xml:space="preserve">ūkio </w:t>
      </w:r>
      <w:r>
        <w:rPr>
          <w:color w:val="000000"/>
          <w:highlight w:val="white"/>
          <w:lang w:val="fi-FI"/>
        </w:rPr>
        <w:t xml:space="preserve">subjektų pajėgumais, siekdamas atitikti finansinio ir ekonominio pajėgumo reikalavimus, Tiekėjas su tokiais </w:t>
      </w:r>
      <w:r>
        <w:rPr>
          <w:color w:val="000000"/>
          <w:lang w:val="fi-FI"/>
        </w:rPr>
        <w:t xml:space="preserve">ūkio </w:t>
      </w:r>
      <w:r>
        <w:rPr>
          <w:color w:val="000000"/>
          <w:highlight w:val="white"/>
          <w:lang w:val="fi-FI"/>
        </w:rPr>
        <w:t>subjektais už Sutarties vykdymą atsako solidariai (jeigu to buvo reikalaujama pirkimo dokumentuose).</w:t>
      </w:r>
    </w:p>
    <w:p w14:paraId="0000058D">
      <w:pPr>
        <w:widowControl w:val="0"/>
        <w:tabs>
          <w:tab w:val="left" w:pos="567"/>
          <w:tab w:val="left" w:pos="851"/>
          <w:tab w:val="left" w:pos="992"/>
          <w:tab w:val="left" w:pos="1134"/>
        </w:tabs>
        <w:spacing w:line="259" w:lineRule="auto"/>
        <w:jc w:val="both"/>
        <w:rPr>
          <w:lang w:val="fi-FI"/>
        </w:rPr>
      </w:pPr>
      <w:r>
        <w:rPr>
          <w:lang w:val="fi-FI"/>
        </w:rPr>
        <w:t>3.1.3.</w:t>
      </w:r>
      <w:r>
        <w:rPr>
          <w:lang w:val="fi-FI"/>
        </w:rPr>
        <w:tab/>
      </w:r>
      <w:r>
        <w:rPr>
          <w:lang w:val="fi-FI"/>
        </w:rPr>
        <w:t xml:space="preserve">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 </w:t>
      </w:r>
    </w:p>
    <w:p w14:paraId="0000058E">
      <w:pPr>
        <w:widowControl w:val="0"/>
        <w:tabs>
          <w:tab w:val="left" w:pos="567"/>
          <w:tab w:val="left" w:pos="851"/>
          <w:tab w:val="left" w:pos="992"/>
          <w:tab w:val="left" w:pos="1134"/>
        </w:tabs>
        <w:spacing w:line="259" w:lineRule="auto"/>
        <w:jc w:val="both"/>
        <w:rPr>
          <w:lang w:val="fi-FI"/>
        </w:rPr>
      </w:pPr>
    </w:p>
    <w:p w14:paraId="0000058F">
      <w:pPr>
        <w:keepNext/>
        <w:keepLines/>
        <w:widowControl w:val="0"/>
        <w:tabs>
          <w:tab w:val="left" w:pos="567"/>
          <w:tab w:val="left" w:pos="851"/>
          <w:tab w:val="left" w:pos="992"/>
          <w:tab w:val="left" w:pos="1134"/>
        </w:tabs>
        <w:spacing w:line="259" w:lineRule="auto"/>
        <w:jc w:val="center"/>
        <w:rPr>
          <w:b/>
          <w:lang w:val="fi-FI"/>
        </w:rPr>
      </w:pPr>
      <w:r>
        <w:rPr>
          <w:b/>
          <w:lang w:val="fi-FI"/>
        </w:rPr>
        <w:t>3.2.</w:t>
      </w:r>
      <w:r>
        <w:rPr>
          <w:lang w:val="fi-FI"/>
        </w:rPr>
        <w:tab/>
      </w:r>
      <w:r>
        <w:rPr>
          <w:b/>
          <w:lang w:val="fi-FI"/>
        </w:rPr>
        <w:t>Subtiekėjų bei specialistų pasitelkimas ir keitimas</w:t>
      </w:r>
    </w:p>
    <w:p w14:paraId="00000590">
      <w:pPr>
        <w:keepNext/>
        <w:keepLines/>
        <w:widowControl w:val="0"/>
        <w:tabs>
          <w:tab w:val="left" w:pos="567"/>
          <w:tab w:val="left" w:pos="851"/>
          <w:tab w:val="left" w:pos="992"/>
          <w:tab w:val="left" w:pos="1134"/>
        </w:tabs>
        <w:spacing w:line="259" w:lineRule="auto"/>
        <w:jc w:val="both"/>
        <w:rPr>
          <w:b/>
          <w:lang w:val="fi-FI"/>
        </w:rPr>
      </w:pPr>
    </w:p>
    <w:p w14:paraId="00000591">
      <w:pPr>
        <w:widowControl w:val="0"/>
        <w:tabs>
          <w:tab w:val="left" w:pos="567"/>
          <w:tab w:val="left" w:pos="851"/>
          <w:tab w:val="left" w:pos="992"/>
          <w:tab w:val="left" w:pos="1134"/>
        </w:tabs>
        <w:spacing w:line="259" w:lineRule="auto"/>
        <w:jc w:val="both"/>
        <w:rPr>
          <w:lang w:val="fi-FI"/>
        </w:rPr>
      </w:pPr>
      <w:r>
        <w:rPr>
          <w:lang w:val="fi-FI"/>
        </w:rPr>
        <w:t>3.2.1.</w:t>
      </w:r>
      <w:r>
        <w:rPr>
          <w:lang w:val="fi-FI"/>
        </w:rPr>
        <w:tab/>
      </w:r>
      <w:r>
        <w:rPr>
          <w:color w:val="000000"/>
          <w:highlight w:val="white"/>
          <w:lang w:val="fi-FI"/>
        </w:rPr>
        <w:t>Tiekėjas įsipareigoja užtikrinti, kad Sutartį vykdys pirkime pasiūlyti ir kvalifikaci</w:t>
      </w:r>
      <w:r>
        <w:rPr>
          <w:color w:val="000000"/>
          <w:lang w:val="fi-FI"/>
        </w:rPr>
        <w:t>jos</w:t>
      </w:r>
      <w:r>
        <w:rPr>
          <w:color w:val="000000"/>
          <w:highlight w:val="white"/>
          <w:lang w:val="fi-FI"/>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color w:val="000000"/>
          <w:lang w:val="fi-FI"/>
        </w:rPr>
        <w:t xml:space="preserve">ir specialistų </w:t>
      </w:r>
      <w:r>
        <w:rPr>
          <w:color w:val="000000"/>
          <w:highlight w:val="white"/>
          <w:lang w:val="fi-FI"/>
        </w:rPr>
        <w:t>veiksmus ar neveikimą. </w:t>
      </w:r>
    </w:p>
    <w:p w14:paraId="00000592">
      <w:pPr>
        <w:widowControl w:val="0"/>
        <w:tabs>
          <w:tab w:val="left" w:pos="567"/>
          <w:tab w:val="left" w:pos="851"/>
          <w:tab w:val="left" w:pos="992"/>
          <w:tab w:val="left" w:pos="1134"/>
        </w:tabs>
        <w:spacing w:line="264" w:lineRule="auto"/>
        <w:jc w:val="both"/>
        <w:rPr>
          <w:lang w:val="fi-FI"/>
        </w:rPr>
      </w:pPr>
      <w:r>
        <w:rPr>
          <w:lang w:val="fi-FI"/>
        </w:rPr>
        <w:t>3.2.2.</w:t>
      </w:r>
      <w:r>
        <w:rPr>
          <w:lang w:val="fi-FI"/>
        </w:rPr>
        <w:tab/>
      </w:r>
      <w:r>
        <w:rPr>
          <w:color w:val="000000"/>
          <w:highlight w:val="white"/>
          <w:lang w:val="fi-FI"/>
        </w:rPr>
        <w:t>Sutarties vykdymui pasitelkiami subtiekėjai ir (ar) specialistai (jeigu tokie pasitelkiami) nurodomi Specialiosiose sąlygose. </w:t>
      </w:r>
    </w:p>
    <w:p w14:paraId="00000593">
      <w:pPr>
        <w:widowControl w:val="0"/>
        <w:spacing w:line="259" w:lineRule="auto"/>
        <w:jc w:val="both"/>
        <w:rPr>
          <w:lang w:val="fi-FI"/>
        </w:rPr>
      </w:pPr>
      <w:r>
        <w:rPr>
          <w:lang w:val="fi-FI"/>
        </w:rPr>
        <w:t>3.2.3.</w:t>
      </w:r>
      <w:r>
        <w:rPr>
          <w:lang w:val="fi-FI"/>
        </w:rPr>
        <w:tab/>
      </w:r>
      <w:r>
        <w:rPr>
          <w:color w:val="000000"/>
          <w:highlight w:val="white"/>
          <w:lang w:val="fi-FI"/>
        </w:rPr>
        <w:t xml:space="preserve">Tiekėjas turi teisę Sutarties vykdymui pasitelkti naujus, Specialiosiose sąlygose nenurodytus subtiekėjus, kurių pajėgumais nesirėmė pirkimo dokumentuose numatytiems kvalifikacijos reikalavimams pagrįsti. Sudarius Sutartį, tačiau ne vėliau negu Sutartis pradedama vykdyti, Tiekėjas įsipareigoja Pirkėjui pranešti tuo metu žinomų subtiekėjų pavadinimus, kontaktinius duomenis ir jų atstovus. Pirkėjas taip pat reikalauja, kad Tiekėjas ne vėliau nei prieš 5 (penkias) darbo dienas informuotų apie minėtos informacijos pasikeitimus </w:t>
      </w:r>
      <w:r>
        <w:rPr>
          <w:lang w:val="fi-FI"/>
        </w:rPr>
        <w:t>bei naujų subtiekėjų pasitelkimą</w:t>
      </w:r>
      <w:r>
        <w:rPr>
          <w:color w:val="000000"/>
          <w:highlight w:val="white"/>
          <w:lang w:val="fi-FI"/>
        </w:rPr>
        <w:t xml:space="preserve"> visu Sutarties vykdymo metu. </w:t>
      </w:r>
      <w:r>
        <w:rPr>
          <w:color w:val="000000"/>
          <w:lang w:val="fi-FI"/>
        </w:rPr>
        <w:t>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pasitelkti naują subtiekėją, kurio pajėgumais Tiekėjas nesirėmė pirkimo dokumentuose numatytiems kvalifikacijos reikalavimams pagrįsti. Pirkėjui sutikus, Šalys pasirašo Susitarimą, kuris laikomas neatsiejama Sutarties dalimi.</w:t>
      </w:r>
    </w:p>
    <w:p w14:paraId="00000594">
      <w:pPr>
        <w:widowControl w:val="0"/>
        <w:tabs>
          <w:tab w:val="left" w:pos="567"/>
          <w:tab w:val="left" w:pos="851"/>
          <w:tab w:val="left" w:pos="992"/>
          <w:tab w:val="left" w:pos="1134"/>
        </w:tabs>
        <w:spacing w:line="264" w:lineRule="auto"/>
        <w:jc w:val="both"/>
        <w:rPr>
          <w:lang w:val="fi-FI"/>
        </w:rPr>
      </w:pPr>
      <w:r>
        <w:rPr>
          <w:lang w:val="fi-FI"/>
        </w:rPr>
        <w:t>3.2.4.</w:t>
      </w:r>
      <w:r>
        <w:rPr>
          <w:lang w:val="fi-FI"/>
        </w:rPr>
        <w:tab/>
      </w:r>
      <w:r>
        <w:rPr>
          <w:color w:val="000000"/>
          <w:highlight w:val="white"/>
          <w:lang w:val="fi-FI"/>
        </w:rPr>
        <w:t xml:space="preserve">Tiekėjas gali keisti Sutartyje nurodytus subtiekėjus ir (ar) specialistus šiame Sutarties poskyryje nustatytais atvejais ir tvarka gavęs Pirkėjo rašytinį sutikimą. </w:t>
      </w:r>
    </w:p>
    <w:p w14:paraId="00000595">
      <w:pPr>
        <w:widowControl w:val="0"/>
        <w:tabs>
          <w:tab w:val="left" w:pos="567"/>
          <w:tab w:val="left" w:pos="851"/>
          <w:tab w:val="left" w:pos="992"/>
          <w:tab w:val="left" w:pos="1134"/>
        </w:tabs>
        <w:spacing w:line="259" w:lineRule="auto"/>
        <w:jc w:val="both"/>
        <w:rPr>
          <w:lang w:val="fi-FI"/>
        </w:rPr>
      </w:pPr>
      <w:r>
        <w:rPr>
          <w:lang w:val="fi-FI"/>
        </w:rPr>
        <w:t>3.2.5.</w:t>
      </w:r>
      <w:r>
        <w:rPr>
          <w:lang w:val="fi-FI"/>
        </w:rPr>
        <w:tab/>
      </w:r>
      <w:r>
        <w:rPr>
          <w:color w:val="000000"/>
          <w:lang w:val="fi-FI"/>
        </w:rPr>
        <w:t>Subtiekėjus, kurių pajėgumais Tiekėjas nesirėmė pirkimo dokumentuose numatytiems kvalifikacijos reikalavimams pagrįsti, Tiekėjas gali keisti savo nuožiūra, apie tai raštu ne vėliau, kaip prieš 5 (penkias) darbo dienas informuodamas Pirkėją. Pirkėjas (jeigu buvo taikoma pirkimo dokumentuose) turi patikrinti, ar nėra subtiekėjo pašalinimo pagrindų  ir subtiekėjo atitiktį nacionalinio saugumo interesams ir kilmės reikalavimams. Jeigu subtiekėjo padėtis neatitinka bet vieno iš nurodytų reikalavimų, Pirkėjas reikalauja pakeisti šį subtiekėją reikalavimus atitinkančiu subtiekėju. Pirkėjas per 5 (penkias) darbo dienas raštu informuoja Tiekėją apie leidimą pakeisti subtiekėją. Pirkėjui sutikus, Šalys pasirašo Susitarimą, kuris laikomas neatsiejama Sutarties dalimi.</w:t>
      </w:r>
    </w:p>
    <w:p w14:paraId="00000596">
      <w:pPr>
        <w:widowControl w:val="0"/>
        <w:tabs>
          <w:tab w:val="left" w:pos="567"/>
          <w:tab w:val="left" w:pos="851"/>
          <w:tab w:val="left" w:pos="992"/>
          <w:tab w:val="left" w:pos="1134"/>
        </w:tabs>
        <w:spacing w:line="259" w:lineRule="auto"/>
        <w:jc w:val="both"/>
        <w:rPr>
          <w:lang w:val="fi-FI"/>
        </w:rPr>
      </w:pPr>
      <w:r>
        <w:rPr>
          <w:lang w:val="fi-FI"/>
        </w:rPr>
        <w:t>3.2.6.</w:t>
      </w:r>
      <w:r>
        <w:rPr>
          <w:lang w:val="fi-FI"/>
        </w:rPr>
        <w:tab/>
      </w:r>
      <w:r>
        <w:rPr>
          <w:color w:val="000000"/>
          <w:highlight w:val="white"/>
          <w:lang w:val="fi-FI"/>
        </w:rPr>
        <w:t>Subtiekėjas, kurio pajėgumais Tiekėjas rėmėsi, kad atitiktų pirkimo dokumentuose nustatytus kvalifikacijos reikalavimus, gali būti keičiamas tik šiais atvejais: </w:t>
      </w:r>
    </w:p>
    <w:p w14:paraId="00000597">
      <w:pPr>
        <w:widowControl w:val="0"/>
        <w:tabs>
          <w:tab w:val="left" w:pos="567"/>
          <w:tab w:val="left" w:pos="851"/>
          <w:tab w:val="left" w:pos="992"/>
          <w:tab w:val="left" w:pos="1134"/>
        </w:tabs>
        <w:spacing w:line="259" w:lineRule="auto"/>
        <w:jc w:val="both"/>
        <w:rPr>
          <w:lang w:val="fi-FI"/>
        </w:rPr>
      </w:pPr>
      <w:r>
        <w:rPr>
          <w:lang w:val="fi-FI"/>
        </w:rPr>
        <w:t>3.2.6.1.</w:t>
      </w:r>
      <w:r>
        <w:rPr>
          <w:lang w:val="fi-FI"/>
        </w:rPr>
        <w:tab/>
      </w:r>
      <w:r>
        <w:rPr>
          <w:color w:val="000000"/>
          <w:highlight w:val="white"/>
          <w:lang w:val="fi-FI"/>
        </w:rPr>
        <w:t xml:space="preserve">kai subtiekėjui </w:t>
      </w:r>
      <w:r>
        <w:rPr>
          <w:lang w:val="fi-FI"/>
        </w:rPr>
        <w:t>iškelta bankroto byla, pradėtas bankroto procesas ne teismo tvarka, jis tampa nemokus arba yra nemokumo tikimybė, sustabdo ūkinę veiklą ar kai įstatymuose ir kituose teisės aktuose nustatyta tvarka susidaro analogiška situacija</w:t>
      </w:r>
      <w:r>
        <w:rPr>
          <w:color w:val="000000"/>
          <w:highlight w:val="white"/>
          <w:lang w:val="fi-FI"/>
        </w:rPr>
        <w:t>; </w:t>
      </w:r>
    </w:p>
    <w:p w14:paraId="00000598">
      <w:pPr>
        <w:widowControl w:val="0"/>
        <w:tabs>
          <w:tab w:val="left" w:pos="567"/>
          <w:tab w:val="left" w:pos="851"/>
          <w:tab w:val="left" w:pos="992"/>
          <w:tab w:val="left" w:pos="1134"/>
        </w:tabs>
        <w:spacing w:line="259" w:lineRule="auto"/>
        <w:jc w:val="both"/>
        <w:rPr>
          <w:lang w:val="fi-FI"/>
        </w:rPr>
      </w:pPr>
      <w:r>
        <w:rPr>
          <w:lang w:val="fi-FI"/>
        </w:rPr>
        <w:t>3.2.6.2.</w:t>
      </w:r>
      <w:r>
        <w:rPr>
          <w:lang w:val="fi-FI"/>
        </w:rPr>
        <w:tab/>
      </w:r>
      <w:r>
        <w:rPr>
          <w:color w:val="000000"/>
          <w:highlight w:val="white"/>
          <w:lang w:val="fi-FI"/>
        </w:rPr>
        <w:t>kai subtiekėjas dėl objektyvių priežasčių (pavyzdžiui, subtiekėjui atsisakius dalyvauti Sutarties vykdyme, nutrūkus teisiniams santykiams su Tiekėju ir pan.) nebegali vykdyti visų ar dalies Sutartyje numatytų įsipareigojimų. </w:t>
      </w:r>
    </w:p>
    <w:p w14:paraId="00000599">
      <w:pPr>
        <w:widowControl w:val="0"/>
        <w:tabs>
          <w:tab w:val="left" w:pos="567"/>
          <w:tab w:val="left" w:pos="851"/>
          <w:tab w:val="left" w:pos="992"/>
          <w:tab w:val="left" w:pos="1134"/>
        </w:tabs>
        <w:spacing w:line="259" w:lineRule="auto"/>
        <w:jc w:val="both"/>
        <w:rPr>
          <w:lang w:val="fi-FI"/>
        </w:rPr>
      </w:pPr>
      <w:r>
        <w:rPr>
          <w:lang w:val="fi-FI"/>
        </w:rPr>
        <w:t>3.2.6.3.</w:t>
      </w:r>
      <w:r>
        <w:rPr>
          <w:lang w:val="fi-FI"/>
        </w:rPr>
        <w:tab/>
      </w:r>
      <w:r>
        <w:rPr>
          <w:color w:val="000000"/>
          <w:highlight w:val="white"/>
          <w:lang w:val="fi-FI"/>
        </w:rPr>
        <w:t xml:space="preserve">Naujas subtiekėjas, kuris keičiamas vietoje subtiekėjo, kurio pajėgumais Tiekėjas rėmėsi, kad atitiktų pirkimo dokumentuose nustatytus kvalifikacijos reikalavimus (toliau – naujas subtiekėjas), turi atitikti pirkimo dokumentuose nustatytus reikalavimus dėl pašalinimo pagrindų nebuvimo, keliamus kvalifikacijos reikalavimus, Tiekėjo pasiūlyme nurodytą keičiamo subtiekėjo kvalifikaciją pirkimo dokumentuose nustatytiems kokybiniams kriterijams pagrįsti ir nacionalinio saugumo interesus bei kilmės reikalavimus (jei taikoma). </w:t>
      </w:r>
    </w:p>
    <w:p w14:paraId="0000059A">
      <w:pPr>
        <w:widowControl w:val="0"/>
        <w:tabs>
          <w:tab w:val="left" w:pos="567"/>
          <w:tab w:val="left" w:pos="851"/>
          <w:tab w:val="left" w:pos="992"/>
          <w:tab w:val="left" w:pos="1134"/>
        </w:tabs>
        <w:spacing w:line="259" w:lineRule="auto"/>
        <w:jc w:val="both"/>
        <w:rPr>
          <w:lang w:val="fi-FI"/>
        </w:rPr>
      </w:pPr>
      <w:r>
        <w:rPr>
          <w:lang w:val="fi-FI"/>
        </w:rPr>
        <w:t>3.2.7.</w:t>
      </w:r>
      <w:r>
        <w:rPr>
          <w:lang w:val="fi-FI"/>
        </w:rPr>
        <w:tab/>
      </w:r>
      <w:r>
        <w:rPr>
          <w:color w:val="000000"/>
          <w:highlight w:val="white"/>
          <w:lang w:val="fi-FI"/>
        </w:rPr>
        <w:t>Tiekėjo (ar subtiekėjų) specialista</w:t>
      </w:r>
      <w:r>
        <w:rPr>
          <w:color w:val="000000"/>
          <w:lang w:val="fi-FI"/>
        </w:rPr>
        <w:t>s</w:t>
      </w:r>
      <w:r>
        <w:rPr>
          <w:color w:val="000000"/>
          <w:highlight w:val="white"/>
          <w:lang w:val="fi-FI"/>
        </w:rPr>
        <w:t>, vykdysiant</w:t>
      </w:r>
      <w:r>
        <w:rPr>
          <w:color w:val="000000"/>
          <w:lang w:val="fi-FI"/>
        </w:rPr>
        <w:t>i</w:t>
      </w:r>
      <w:r>
        <w:rPr>
          <w:color w:val="000000"/>
          <w:highlight w:val="white"/>
          <w:lang w:val="fi-FI"/>
        </w:rPr>
        <w:t>s Sutartį, gali būti pakeisti šiais atvejais: </w:t>
      </w:r>
    </w:p>
    <w:p w14:paraId="0000059B">
      <w:pPr>
        <w:widowControl w:val="0"/>
        <w:tabs>
          <w:tab w:val="left" w:pos="567"/>
          <w:tab w:val="left" w:pos="851"/>
          <w:tab w:val="left" w:pos="992"/>
          <w:tab w:val="left" w:pos="1134"/>
        </w:tabs>
        <w:spacing w:line="259" w:lineRule="auto"/>
        <w:jc w:val="both"/>
        <w:rPr>
          <w:lang w:val="fi-FI"/>
        </w:rPr>
      </w:pPr>
      <w:r>
        <w:rPr>
          <w:lang w:val="fi-FI"/>
        </w:rPr>
        <w:t>3.2.7.1.</w:t>
      </w:r>
      <w:r>
        <w:rPr>
          <w:lang w:val="fi-FI"/>
        </w:rPr>
        <w:tab/>
      </w:r>
      <w:r>
        <w:rPr>
          <w:color w:val="000000"/>
          <w:highlight w:val="white"/>
          <w:lang w:val="fi-FI"/>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000059C">
      <w:pPr>
        <w:widowControl w:val="0"/>
        <w:tabs>
          <w:tab w:val="left" w:pos="567"/>
          <w:tab w:val="left" w:pos="851"/>
          <w:tab w:val="left" w:pos="992"/>
          <w:tab w:val="left" w:pos="1134"/>
        </w:tabs>
        <w:spacing w:line="259" w:lineRule="auto"/>
        <w:jc w:val="both"/>
        <w:rPr>
          <w:lang w:val="fi-FI"/>
        </w:rPr>
      </w:pPr>
      <w:r>
        <w:rPr>
          <w:lang w:val="fi-FI"/>
        </w:rPr>
        <w:t>3.2.7.2.</w:t>
      </w:r>
      <w:r>
        <w:rPr>
          <w:lang w:val="fi-FI"/>
        </w:rPr>
        <w:tab/>
      </w:r>
      <w:r>
        <w:rPr>
          <w:color w:val="000000"/>
          <w:highlight w:val="white"/>
          <w:lang w:val="fi-FI"/>
        </w:rPr>
        <w:t>Pirkėjo iniciatyva, jei Pirkėjas turi pagrįstų įtarimų, kad Tiekėjo Sutarties vykdymui paskirtas specialistas nekompetentingas vykdyti nustatytas pareigas. </w:t>
      </w:r>
    </w:p>
    <w:p w14:paraId="0000059D">
      <w:pPr>
        <w:widowControl w:val="0"/>
        <w:tabs>
          <w:tab w:val="left" w:pos="567"/>
          <w:tab w:val="left" w:pos="851"/>
          <w:tab w:val="left" w:pos="992"/>
          <w:tab w:val="left" w:pos="1134"/>
        </w:tabs>
        <w:spacing w:line="259" w:lineRule="auto"/>
        <w:jc w:val="both"/>
        <w:rPr>
          <w:lang w:val="fi-FI"/>
        </w:rPr>
      </w:pPr>
      <w:r>
        <w:rPr>
          <w:lang w:val="fi-FI"/>
        </w:rPr>
        <w:t>3.2.7.3.</w:t>
      </w:r>
      <w:r>
        <w:rPr>
          <w:lang w:val="fi-FI"/>
        </w:rPr>
        <w:tab/>
      </w:r>
      <w:r>
        <w:rPr>
          <w:color w:val="000000"/>
          <w:highlight w:val="white"/>
          <w:lang w:val="fi-FI"/>
        </w:rPr>
        <w:t>Naujas specialistas</w:t>
      </w:r>
      <w:r>
        <w:rPr>
          <w:color w:val="000000"/>
          <w:lang w:val="fi-FI"/>
        </w:rPr>
        <w:t xml:space="preserve"> </w:t>
      </w:r>
      <w:r>
        <w:rPr>
          <w:color w:val="000000"/>
          <w:highlight w:val="white"/>
          <w:lang w:val="fi-FI"/>
        </w:rPr>
        <w:t>turi turėti ne žemesnę nei pirkimo dokumentuose specialistui keliamą kvalifikaciją</w:t>
      </w:r>
      <w:r>
        <w:rPr>
          <w:color w:val="000000"/>
          <w:lang w:val="fi-FI"/>
        </w:rPr>
        <w:t xml:space="preserve">, Tiekėjo pasiūlyme nurodytą keičiamo specialisto kvalifikaciją pirkimo dokumentuose nustatytiems kokybiniams kriterijams pagrįsti ir </w:t>
      </w:r>
      <w:r>
        <w:rPr>
          <w:color w:val="000000"/>
          <w:highlight w:val="white"/>
          <w:lang w:val="fi-FI"/>
        </w:rPr>
        <w:t>nacionalinio saugumo interesus bei kilmės reikalavimus, nurodytus pirkimo dokumentuose</w:t>
      </w:r>
      <w:r>
        <w:rPr>
          <w:color w:val="000000"/>
          <w:lang w:val="fi-FI"/>
        </w:rPr>
        <w:t xml:space="preserve"> (jei taikoma)</w:t>
      </w:r>
      <w:r>
        <w:rPr>
          <w:color w:val="000000"/>
          <w:highlight w:val="white"/>
          <w:lang w:val="fi-FI"/>
        </w:rPr>
        <w:t xml:space="preserve">. </w:t>
      </w:r>
    </w:p>
    <w:p w14:paraId="0000059E">
      <w:pPr>
        <w:widowControl w:val="0"/>
        <w:tabs>
          <w:tab w:val="left" w:pos="567"/>
          <w:tab w:val="left" w:pos="851"/>
          <w:tab w:val="left" w:pos="992"/>
          <w:tab w:val="left" w:pos="1134"/>
        </w:tabs>
        <w:spacing w:line="259" w:lineRule="auto"/>
        <w:jc w:val="both"/>
        <w:rPr>
          <w:lang w:val="fi-FI"/>
        </w:rPr>
      </w:pPr>
      <w:r>
        <w:rPr>
          <w:lang w:val="fi-FI"/>
        </w:rPr>
        <w:t>3.2.8.</w:t>
      </w:r>
      <w:r>
        <w:rPr>
          <w:lang w:val="fi-FI"/>
        </w:rPr>
        <w:tab/>
      </w:r>
      <w:r>
        <w:rPr>
          <w:color w:val="000000"/>
          <w:highlight w:val="white"/>
          <w:lang w:val="fi-FI"/>
        </w:rPr>
        <w:t xml:space="preserve">Tiekėjas privalo ne vėliau nei prieš 5 (penkias) darbo dienas iki numatomo subtiekėjo, kurio pajėgumais Tiekėjas rėmėsi, kad atitiktų pirkimo dokumentuose nustatytus kvalifikacijos reikalavimus, ar specialisto keitimo pateikti Pirkėjui argumentuotą rašytinį prašymą ir šiuos dokumentus: </w:t>
      </w:r>
    </w:p>
    <w:p w14:paraId="0000059F">
      <w:pPr>
        <w:widowControl w:val="0"/>
        <w:tabs>
          <w:tab w:val="left" w:pos="567"/>
          <w:tab w:val="left" w:pos="851"/>
          <w:tab w:val="left" w:pos="992"/>
          <w:tab w:val="left" w:pos="1134"/>
        </w:tabs>
        <w:spacing w:line="259" w:lineRule="auto"/>
        <w:jc w:val="both"/>
        <w:rPr>
          <w:lang w:val="fi-FI"/>
        </w:rPr>
      </w:pPr>
      <w:r>
        <w:rPr>
          <w:lang w:val="fi-FI"/>
        </w:rPr>
        <w:t>3.2.8.1.</w:t>
      </w:r>
      <w:r>
        <w:rPr>
          <w:lang w:val="fi-FI"/>
        </w:rPr>
        <w:tab/>
      </w:r>
      <w:r>
        <w:rPr>
          <w:color w:val="000000"/>
          <w:highlight w:val="white"/>
          <w:lang w:val="fi-FI"/>
        </w:rPr>
        <w:t xml:space="preserve"> prašymą pakeisti subtiekėją ar specialistą, paaiškinant keitimo aplinkybę. Pirkėjas pasilieka teisę paprašyti įrodymų, pagrindžiančių keitimo aplinkybę; </w:t>
      </w:r>
    </w:p>
    <w:p w14:paraId="000005A0">
      <w:pPr>
        <w:widowControl w:val="0"/>
        <w:tabs>
          <w:tab w:val="left" w:pos="567"/>
          <w:tab w:val="left" w:pos="851"/>
          <w:tab w:val="left" w:pos="992"/>
          <w:tab w:val="left" w:pos="1134"/>
        </w:tabs>
        <w:spacing w:line="259" w:lineRule="auto"/>
        <w:jc w:val="both"/>
        <w:rPr>
          <w:lang w:val="fi-FI"/>
        </w:rPr>
      </w:pPr>
      <w:r>
        <w:rPr>
          <w:lang w:val="fi-FI"/>
        </w:rPr>
        <w:t>3.2.8.2.</w:t>
      </w:r>
      <w:r>
        <w:rPr>
          <w:lang w:val="fi-FI"/>
        </w:rPr>
        <w:tab/>
      </w:r>
      <w:r>
        <w:rPr>
          <w:color w:val="000000"/>
          <w:lang w:val="fi-FI"/>
        </w:rPr>
        <w:t xml:space="preserve">naujo subtiekėjo ar specialisto kvalifikaciją, pašalinimo pagrindų nebuvimą ir atitiktį </w:t>
      </w:r>
      <w:r>
        <w:rPr>
          <w:color w:val="000000"/>
          <w:highlight w:val="white"/>
          <w:lang w:val="fi-FI"/>
        </w:rPr>
        <w:t>nacionalinio saugumo interesams bei kilmės reikalavimams</w:t>
      </w:r>
      <w:r>
        <w:rPr>
          <w:color w:val="000000"/>
          <w:lang w:val="fi-FI"/>
        </w:rPr>
        <w:t xml:space="preserve"> įrodančius dokumentus pagal Sutarties reikalavimus. </w:t>
      </w:r>
    </w:p>
    <w:p w14:paraId="000005A1">
      <w:pPr>
        <w:widowControl w:val="0"/>
        <w:tabs>
          <w:tab w:val="left" w:pos="567"/>
          <w:tab w:val="left" w:pos="851"/>
          <w:tab w:val="left" w:pos="992"/>
          <w:tab w:val="left" w:pos="1134"/>
        </w:tabs>
        <w:spacing w:line="259" w:lineRule="auto"/>
        <w:jc w:val="both"/>
        <w:rPr>
          <w:lang w:val="fi-FI"/>
        </w:rPr>
      </w:pPr>
      <w:r>
        <w:rPr>
          <w:lang w:val="fi-FI"/>
        </w:rPr>
        <w:t>3.2.9.</w:t>
      </w:r>
      <w:r>
        <w:rPr>
          <w:lang w:val="fi-FI"/>
        </w:rPr>
        <w:tab/>
      </w:r>
      <w:r>
        <w:rPr>
          <w:color w:val="000000"/>
          <w:lang w:val="fi-FI"/>
        </w:rPr>
        <w:t>Pirkėjas, gavęs Tiekėjo prašymą su kitais Sutartyje nurodytais dokumentais, per 5 (penkias) darbo dienas įvertina keitimo galimybes ir raštu informuoja Tiekėją apie leidimą pakeisti subtiekėją ar specialistą. Pirkėjui sutikus, Šalys pasirašo Susitarimą, kuris laikomas neatsiejama Sutarties dalimi.</w:t>
      </w:r>
    </w:p>
    <w:p w14:paraId="000005A2">
      <w:pPr>
        <w:widowControl w:val="0"/>
        <w:tabs>
          <w:tab w:val="left" w:pos="567"/>
          <w:tab w:val="left" w:pos="851"/>
          <w:tab w:val="left" w:pos="992"/>
          <w:tab w:val="left" w:pos="1134"/>
        </w:tabs>
        <w:spacing w:line="259" w:lineRule="auto"/>
        <w:jc w:val="both"/>
        <w:rPr>
          <w:lang w:val="fi-FI"/>
        </w:rPr>
      </w:pPr>
      <w:r>
        <w:rPr>
          <w:lang w:val="fi-FI"/>
        </w:rPr>
        <w:t>3.2.10.</w:t>
      </w:r>
      <w:r>
        <w:rPr>
          <w:lang w:val="fi-FI"/>
        </w:rPr>
        <w:tab/>
      </w:r>
      <w:r>
        <w:rPr>
          <w:color w:val="000000"/>
          <w:highlight w:val="white"/>
          <w:lang w:val="fi-FI"/>
        </w:rPr>
        <w:t>Naujas subtiekėjas ar specialistas gali pradėti vykdyti jiems Tiekėjo pavestus įsipareigojimus pagal Sutartį ne anksčiau, nei bus pasirašytas Susitarimas.</w:t>
      </w:r>
    </w:p>
    <w:p w14:paraId="000005A3">
      <w:pPr>
        <w:widowControl w:val="0"/>
        <w:tabs>
          <w:tab w:val="left" w:pos="567"/>
          <w:tab w:val="left" w:pos="851"/>
          <w:tab w:val="left" w:pos="992"/>
          <w:tab w:val="left" w:pos="1134"/>
        </w:tabs>
        <w:spacing w:line="259" w:lineRule="auto"/>
        <w:jc w:val="both"/>
        <w:rPr>
          <w:lang w:val="fi-FI"/>
        </w:rPr>
      </w:pPr>
      <w:r>
        <w:rPr>
          <w:lang w:val="fi-FI"/>
        </w:rPr>
        <w:t>3.2.11.</w:t>
      </w:r>
      <w:r>
        <w:rPr>
          <w:lang w:val="fi-FI"/>
        </w:rPr>
        <w:tab/>
      </w:r>
      <w:r>
        <w:rPr>
          <w:color w:val="000000"/>
          <w:lang w:val="fi-FI"/>
        </w:rPr>
        <w:t xml:space="preserve">Tiekėjas privalo pakeisti subtiekėją ar specialistą, jei paaiškėja, kad jis neatitinka jam pirkimo dokumentuose keliamų reikalavimų. </w:t>
      </w:r>
    </w:p>
    <w:p w14:paraId="000005A4">
      <w:pPr>
        <w:widowControl w:val="0"/>
        <w:tabs>
          <w:tab w:val="left" w:pos="567"/>
          <w:tab w:val="left" w:pos="851"/>
          <w:tab w:val="left" w:pos="992"/>
          <w:tab w:val="left" w:pos="1134"/>
        </w:tabs>
        <w:spacing w:line="259" w:lineRule="auto"/>
        <w:jc w:val="both"/>
        <w:rPr>
          <w:color w:val="000000"/>
          <w:lang w:val="fi-FI"/>
        </w:rPr>
      </w:pPr>
      <w:r>
        <w:rPr>
          <w:color w:val="000000"/>
          <w:lang w:val="fi-FI"/>
        </w:rPr>
        <w:t>3.2.12.</w:t>
      </w:r>
      <w:r>
        <w:rPr>
          <w:color w:val="000000"/>
          <w:lang w:val="fi-FI"/>
        </w:rPr>
        <w:tab/>
      </w:r>
      <w:r>
        <w:rPr>
          <w:color w:val="000000"/>
          <w:highlight w:val="white"/>
          <w:lang w:val="fi-FI"/>
        </w:rPr>
        <w:t>Jei Tiekėjas pakeičia esamą arba pasitelkia naują subtiekėją ar specialistą, negavęs Pirkėjo raštiško sutikimo, arba sutartinius įsipareigojimus pagal Sutartį vykdo subtiekėjai</w:t>
      </w:r>
      <w:r>
        <w:rPr>
          <w:color w:val="D13438"/>
          <w:highlight w:val="white"/>
          <w:lang w:val="fi-FI"/>
        </w:rPr>
        <w:t xml:space="preserve"> </w:t>
      </w:r>
      <w:r>
        <w:rPr>
          <w:color w:val="000000"/>
          <w:highlight w:val="white"/>
          <w:lang w:val="fi-FI"/>
        </w:rPr>
        <w:t>ar specialistai, neatitinkantys pirkimo dokumentuose nustatytų kvalifikacijos reikalavimų</w:t>
      </w:r>
      <w:r>
        <w:rPr>
          <w:color w:val="000000"/>
          <w:lang w:val="fi-FI"/>
        </w:rPr>
        <w:t>, reikalavimų dėl pašalinimo pagrindų nebuvimo, atitikties nacionalinio saugumo interesams bei kilmės reikalavimams (jei taikoma) ir Tiekėjo pasiūlyme nurodytų sąlygų pirkimo dokumentuose nustatytiems kokybiniams kriterijams pagrįsti (jei taikoma)</w:t>
      </w:r>
      <w:r>
        <w:rPr>
          <w:color w:val="000000"/>
          <w:highlight w:val="white"/>
          <w:lang w:val="fi-FI"/>
        </w:rPr>
        <w:t>, Tiekėjui taikoma Specialiosiose sąlygose nustatyto dydžio bauda.</w:t>
      </w:r>
    </w:p>
    <w:p w14:paraId="000005A5">
      <w:pPr>
        <w:widowControl w:val="0"/>
        <w:tabs>
          <w:tab w:val="left" w:pos="567"/>
          <w:tab w:val="left" w:pos="851"/>
          <w:tab w:val="left" w:pos="992"/>
          <w:tab w:val="left" w:pos="1134"/>
        </w:tabs>
        <w:spacing w:line="259" w:lineRule="auto"/>
        <w:jc w:val="both"/>
        <w:rPr>
          <w:color w:val="000000"/>
          <w:lang w:val="fi-FI"/>
        </w:rPr>
      </w:pPr>
    </w:p>
    <w:p w14:paraId="000005A6">
      <w:pPr>
        <w:widowControl w:val="0"/>
        <w:tabs>
          <w:tab w:val="left" w:pos="567"/>
          <w:tab w:val="left" w:pos="851"/>
          <w:tab w:val="left" w:pos="992"/>
          <w:tab w:val="left" w:pos="1134"/>
        </w:tabs>
        <w:spacing w:line="259" w:lineRule="auto"/>
        <w:jc w:val="center"/>
        <w:rPr>
          <w:b/>
          <w:color w:val="000000"/>
          <w:lang w:val="fi-FI"/>
        </w:rPr>
      </w:pPr>
      <w:r>
        <w:rPr>
          <w:b/>
          <w:color w:val="000000"/>
          <w:lang w:val="fi-FI"/>
        </w:rPr>
        <w:t>3.3. Jungtinės veiklos partnerių keitimas</w:t>
      </w:r>
    </w:p>
    <w:p w14:paraId="000005A7">
      <w:pPr>
        <w:widowControl w:val="0"/>
        <w:tabs>
          <w:tab w:val="left" w:pos="567"/>
        </w:tabs>
        <w:spacing w:line="259" w:lineRule="auto"/>
        <w:jc w:val="both"/>
        <w:rPr>
          <w:lang w:val="fi-FI"/>
        </w:rPr>
      </w:pPr>
    </w:p>
    <w:p w14:paraId="000005A8">
      <w:pPr>
        <w:widowControl w:val="0"/>
        <w:spacing w:line="259" w:lineRule="auto"/>
        <w:jc w:val="both"/>
        <w:rPr>
          <w:lang w:val="fi-FI"/>
        </w:rPr>
      </w:pPr>
      <w:r>
        <w:rPr>
          <w:color w:val="000000"/>
          <w:highlight w:val="white"/>
          <w:lang w:val="fi-FI"/>
        </w:rPr>
        <w:t xml:space="preserve">3.3.1. Tiekėjas, vykdantis Sutartį jungtinės veiklos pagrindu,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 </w:t>
      </w:r>
    </w:p>
    <w:p w14:paraId="000005A9">
      <w:pPr>
        <w:widowControl w:val="0"/>
        <w:tabs>
          <w:tab w:val="left" w:pos="567"/>
          <w:tab w:val="left" w:pos="851"/>
          <w:tab w:val="left" w:pos="992"/>
          <w:tab w:val="left" w:pos="1134"/>
        </w:tabs>
        <w:spacing w:line="259" w:lineRule="auto"/>
        <w:jc w:val="both"/>
        <w:rPr>
          <w:lang w:val="fi-FI"/>
        </w:rPr>
      </w:pPr>
      <w:r>
        <w:rPr>
          <w:color w:val="000000"/>
          <w:highlight w:val="white"/>
          <w:lang w:val="fi-FI"/>
        </w:rPr>
        <w:t>3.3.2. Tiekėjas, vykdantis Sutartį jungtinės veiklos pagrindu, turi teisę pakeisti partnerį, jei dėl reorganizavimo, restruktūrizavimo ar bankroto procedūrų, pradinio partnerio teises ir pareigas visiškai arba iš dalies perima kitas partneris. Toks Tiekėjo pakeitimas negali lemti kitų esminių Sutarties pakeitimų ir taip negali būti siekiama išvengti VPĮ ir kitų teisės aktų taikymo.</w:t>
      </w:r>
    </w:p>
    <w:p w14:paraId="000005AA">
      <w:pPr>
        <w:widowControl w:val="0"/>
        <w:tabs>
          <w:tab w:val="left" w:pos="567"/>
          <w:tab w:val="left" w:pos="851"/>
          <w:tab w:val="left" w:pos="992"/>
          <w:tab w:val="left" w:pos="1134"/>
        </w:tabs>
        <w:spacing w:line="259" w:lineRule="auto"/>
        <w:jc w:val="both"/>
        <w:rPr>
          <w:lang w:val="fi-FI"/>
        </w:rPr>
      </w:pPr>
      <w:r>
        <w:rPr>
          <w:color w:val="000000"/>
          <w:highlight w:val="white"/>
          <w:lang w:val="fi-FI"/>
        </w:rPr>
        <w:t xml:space="preserve">3.3.3. Tiekėjas privalo ne vėliau nei prieš 10 (dešimt) darbo dienų iki numatomo partnerio keitimo arba atsisakymo pateikti Pirkėjui argumentuotą rašytinį prašymą ir šiuos dokumentus: </w:t>
      </w:r>
    </w:p>
    <w:p w14:paraId="000005AB">
      <w:pPr>
        <w:widowControl w:val="0"/>
        <w:tabs>
          <w:tab w:val="left" w:pos="567"/>
          <w:tab w:val="left" w:pos="851"/>
          <w:tab w:val="left" w:pos="992"/>
          <w:tab w:val="left" w:pos="1134"/>
        </w:tabs>
        <w:spacing w:line="259" w:lineRule="auto"/>
        <w:jc w:val="both"/>
        <w:rPr>
          <w:lang w:val="fi-FI"/>
        </w:rPr>
      </w:pPr>
      <w:r>
        <w:rPr>
          <w:color w:val="000000"/>
          <w:highlight w:val="white"/>
          <w:lang w:val="fi-FI"/>
        </w:rPr>
        <w:t xml:space="preserve">3.3.3.1. prašymą pakeisti Tiekėjo sudėtį ir įrodymus, pagrindžiančius bent vieną partnerio atsisakymo ar keitimo aplinkybę, nurodytą Sutartyje; </w:t>
      </w:r>
    </w:p>
    <w:p w14:paraId="000005AC">
      <w:pPr>
        <w:widowControl w:val="0"/>
        <w:tabs>
          <w:tab w:val="left" w:pos="567"/>
          <w:tab w:val="left" w:pos="851"/>
          <w:tab w:val="left" w:pos="992"/>
          <w:tab w:val="left" w:pos="1134"/>
        </w:tabs>
        <w:spacing w:line="259" w:lineRule="auto"/>
        <w:jc w:val="both"/>
        <w:rPr>
          <w:lang w:val="fi-FI"/>
        </w:rPr>
      </w:pPr>
      <w:r>
        <w:rPr>
          <w:color w:val="000000"/>
          <w:highlight w:val="white"/>
          <w:lang w:val="fi-FI"/>
        </w:rPr>
        <w:t xml:space="preserve">3.3.3.2. naujos jungtinės veiklos sutarties ar esamos jungtinės veiklos sutarties pakeitimo kopiją, kurioje, jeigu partneris pasitraukia, turi būti nurodyta, kad pasitraukiančiojo partnerio įsipareigojimus visa apimtimi perima pasiliekantis jungtinės veiklos partneris (toliau – pasiliekantysis partneris); </w:t>
      </w:r>
    </w:p>
    <w:p w14:paraId="000005AD">
      <w:pPr>
        <w:widowControl w:val="0"/>
        <w:tabs>
          <w:tab w:val="left" w:pos="567"/>
          <w:tab w:val="left" w:pos="851"/>
          <w:tab w:val="left" w:pos="992"/>
          <w:tab w:val="left" w:pos="1134"/>
        </w:tabs>
        <w:spacing w:line="259" w:lineRule="auto"/>
        <w:jc w:val="both"/>
        <w:rPr>
          <w:lang w:val="fi-FI"/>
        </w:rPr>
      </w:pPr>
      <w:r>
        <w:rPr>
          <w:color w:val="000000"/>
          <w:highlight w:val="white"/>
          <w:lang w:val="fi-FI"/>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lang w:val="fi-FI"/>
        </w:rPr>
        <w:t>nacionalinio saugumo interesams bei kilmės reikalavimams</w:t>
      </w:r>
      <w:r>
        <w:rPr>
          <w:color w:val="000000"/>
          <w:highlight w:val="white"/>
          <w:lang w:val="fi-FI"/>
        </w:rPr>
        <w:t xml:space="preserve"> (jei taikoma). </w:t>
      </w:r>
    </w:p>
    <w:p w14:paraId="000005AE">
      <w:pPr>
        <w:widowControl w:val="0"/>
        <w:tabs>
          <w:tab w:val="left" w:pos="567"/>
          <w:tab w:val="left" w:pos="851"/>
          <w:tab w:val="left" w:pos="992"/>
          <w:tab w:val="left" w:pos="1134"/>
        </w:tabs>
        <w:spacing w:line="259" w:lineRule="auto"/>
        <w:jc w:val="both"/>
        <w:rPr>
          <w:lang w:val="fi-FI"/>
        </w:rPr>
      </w:pPr>
      <w:r>
        <w:rPr>
          <w:color w:val="000000"/>
          <w:highlight w:val="white"/>
          <w:lang w:val="fi-FI"/>
        </w:rPr>
        <w:t xml:space="preserve">3.3.4. Pirkėjas, gavęs Tiekėjo prašymą su kitais Sutartyje nurodytais dokumentais, per 10 (dešimt) darbo dienų įvertina keitimo galimybes ir raštu informuoja Tiekėją apie Sutarties nutraukimą arba apie leidimą atsisakyti ar pakeisti partnerį. Pirkėjui sutikus, Šalys pasirašo Susitarimą, kuris laikomas neatsiejama Sutarties dalimi. </w:t>
      </w:r>
    </w:p>
    <w:p w14:paraId="000005AF">
      <w:pPr>
        <w:widowControl w:val="0"/>
        <w:tabs>
          <w:tab w:val="left" w:pos="567"/>
          <w:tab w:val="left" w:pos="851"/>
          <w:tab w:val="left" w:pos="992"/>
          <w:tab w:val="left" w:pos="1134"/>
        </w:tabs>
        <w:spacing w:line="259" w:lineRule="auto"/>
        <w:jc w:val="both"/>
        <w:rPr>
          <w:lang w:val="fi-FI"/>
        </w:rPr>
      </w:pPr>
    </w:p>
    <w:p w14:paraId="000005B0">
      <w:pPr>
        <w:keepNext/>
        <w:keepLines/>
        <w:widowControl w:val="0"/>
        <w:tabs>
          <w:tab w:val="left" w:pos="567"/>
          <w:tab w:val="left" w:pos="851"/>
          <w:tab w:val="left" w:pos="992"/>
          <w:tab w:val="left" w:pos="1134"/>
        </w:tabs>
        <w:spacing w:line="259" w:lineRule="auto"/>
        <w:jc w:val="center"/>
        <w:rPr>
          <w:b/>
          <w:color w:val="000000"/>
          <w:lang w:val="fi-FI"/>
        </w:rPr>
      </w:pPr>
      <w:r>
        <w:rPr>
          <w:b/>
          <w:color w:val="000000"/>
          <w:lang w:val="fi-FI"/>
        </w:rPr>
        <w:t>3.4.</w:t>
      </w:r>
      <w:r>
        <w:rPr>
          <w:b/>
          <w:color w:val="000000"/>
          <w:lang w:val="fi-FI"/>
        </w:rPr>
        <w:tab/>
      </w:r>
      <w:r>
        <w:rPr>
          <w:b/>
          <w:lang w:val="fi-FI"/>
        </w:rPr>
        <w:t>Susitarimai dėl tiesioginio atsiskaitymo su subtiekėjais</w:t>
      </w:r>
    </w:p>
    <w:p w14:paraId="000005B1">
      <w:pPr>
        <w:keepNext/>
        <w:keepLines/>
        <w:widowControl w:val="0"/>
        <w:tabs>
          <w:tab w:val="left" w:pos="567"/>
          <w:tab w:val="left" w:pos="851"/>
          <w:tab w:val="left" w:pos="992"/>
          <w:tab w:val="left" w:pos="1134"/>
        </w:tabs>
        <w:spacing w:line="259" w:lineRule="auto"/>
        <w:jc w:val="both"/>
        <w:rPr>
          <w:b/>
          <w:color w:val="000000"/>
          <w:lang w:val="fi-FI"/>
        </w:rPr>
      </w:pPr>
    </w:p>
    <w:p w14:paraId="000005B2">
      <w:pPr>
        <w:widowControl w:val="0"/>
        <w:tabs>
          <w:tab w:val="left" w:pos="567"/>
          <w:tab w:val="left" w:pos="851"/>
          <w:tab w:val="left" w:pos="992"/>
          <w:tab w:val="left" w:pos="1134"/>
        </w:tabs>
        <w:spacing w:line="259" w:lineRule="auto"/>
        <w:jc w:val="both"/>
        <w:rPr>
          <w:lang w:val="fi-FI"/>
        </w:rPr>
      </w:pPr>
      <w:r>
        <w:rPr>
          <w:lang w:val="fi-FI"/>
        </w:rPr>
        <w:t>3.4.1.</w:t>
      </w:r>
      <w:r>
        <w:rPr>
          <w:lang w:val="fi-FI"/>
        </w:rPr>
        <w:tab/>
      </w:r>
      <w:r>
        <w:rPr>
          <w:color w:val="000000"/>
          <w:highlight w:val="white"/>
          <w:lang w:val="fi-FI"/>
        </w:rPr>
        <w:t>Subtiekėjams pageidaujant, Pirkėjas su jais atsiskaitys tiesiogiai. Pirkėjas numato tiesioginio atsiskaitymo galimybę su Sutartyje nurodytais subtiekėjais tokiomis sąlygomis ir tvarka: </w:t>
      </w:r>
    </w:p>
    <w:p w14:paraId="000005B3">
      <w:pPr>
        <w:widowControl w:val="0"/>
        <w:tabs>
          <w:tab w:val="left" w:pos="567"/>
          <w:tab w:val="left" w:pos="851"/>
          <w:tab w:val="left" w:pos="992"/>
          <w:tab w:val="left" w:pos="1134"/>
        </w:tabs>
        <w:spacing w:line="259" w:lineRule="auto"/>
        <w:jc w:val="both"/>
        <w:rPr>
          <w:lang w:val="fi-FI"/>
        </w:rPr>
      </w:pPr>
      <w:r>
        <w:rPr>
          <w:lang w:val="fi-FI"/>
        </w:rPr>
        <w:t>3.4.1.1.</w:t>
      </w:r>
      <w:r>
        <w:rPr>
          <w:lang w:val="fi-FI"/>
        </w:rPr>
        <w:tab/>
      </w:r>
      <w:r>
        <w:rPr>
          <w:color w:val="000000"/>
          <w:highlight w:val="white"/>
          <w:lang w:val="fi-FI"/>
        </w:rPr>
        <w:t>sudarius Sutartį, Tiekėjas ne vėliau negu Sutartis pradedama vykdyti, įsipareigoja Pirkėjui raštu pateikti tuo metu žinomų subtiekėjų pavadinimus, kontaktinius duomenis ir jų atstovus. Pirkėjas taip pat reikalauja, kad Tiekėjas informuotų apie minėtos informacijos pasikeitimus bei</w:t>
      </w:r>
      <w:r>
        <w:rPr>
          <w:b/>
          <w:color w:val="5C5D5D"/>
          <w:lang w:val="fi-FI"/>
        </w:rPr>
        <w:t xml:space="preserve"> </w:t>
      </w:r>
      <w:r>
        <w:rPr>
          <w:color w:val="000000"/>
          <w:highlight w:val="white"/>
          <w:lang w:val="fi-FI"/>
        </w:rPr>
        <w:t>naujų subtiekėjų pasitelkimą visu Sutarties vykdymo metu;</w:t>
      </w:r>
    </w:p>
    <w:p w14:paraId="000005B4">
      <w:pPr>
        <w:widowControl w:val="0"/>
        <w:tabs>
          <w:tab w:val="left" w:pos="567"/>
          <w:tab w:val="left" w:pos="851"/>
          <w:tab w:val="left" w:pos="992"/>
          <w:tab w:val="left" w:pos="1134"/>
        </w:tabs>
        <w:spacing w:line="259" w:lineRule="auto"/>
        <w:jc w:val="both"/>
        <w:rPr>
          <w:lang w:val="fi-FI"/>
        </w:rPr>
      </w:pPr>
      <w:r>
        <w:rPr>
          <w:lang w:val="fi-FI"/>
        </w:rPr>
        <w:t>3.4.1.2.</w:t>
      </w:r>
      <w:r>
        <w:rPr>
          <w:lang w:val="fi-FI"/>
        </w:rPr>
        <w:tab/>
      </w:r>
      <w:r>
        <w:rPr>
          <w:color w:val="000000"/>
          <w:highlight w:val="white"/>
          <w:lang w:val="fi-FI"/>
        </w:rPr>
        <w:t>Pirkėjas ne vėliau kaip per 3 (tris) darbo dienas nuo Bendrųjų sąlygų 3.4.1.1 punkte nurodytos informacijos gavimo dienos raštu informuoja subtiekėjus apie tiesioginio atsiskaitymo galimybę;</w:t>
      </w:r>
    </w:p>
    <w:p w14:paraId="000005B5">
      <w:pPr>
        <w:widowControl w:val="0"/>
        <w:tabs>
          <w:tab w:val="left" w:pos="567"/>
          <w:tab w:val="left" w:pos="851"/>
          <w:tab w:val="left" w:pos="992"/>
          <w:tab w:val="left" w:pos="1134"/>
        </w:tabs>
        <w:spacing w:line="259" w:lineRule="auto"/>
        <w:jc w:val="both"/>
        <w:rPr>
          <w:lang w:val="fi-FI"/>
        </w:rPr>
      </w:pPr>
      <w:r>
        <w:rPr>
          <w:lang w:val="fi-FI"/>
        </w:rPr>
        <w:t>3.4.1.3.</w:t>
      </w:r>
      <w:r>
        <w:rPr>
          <w:lang w:val="fi-FI"/>
        </w:rPr>
        <w:tab/>
      </w:r>
      <w:r>
        <w:rPr>
          <w:color w:val="000000"/>
          <w:highlight w:val="white"/>
          <w:lang w:val="fi-FI"/>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00005B6">
      <w:pPr>
        <w:widowControl w:val="0"/>
        <w:tabs>
          <w:tab w:val="left" w:pos="567"/>
          <w:tab w:val="left" w:pos="851"/>
          <w:tab w:val="left" w:pos="992"/>
          <w:tab w:val="left" w:pos="1134"/>
        </w:tabs>
        <w:spacing w:line="259" w:lineRule="auto"/>
        <w:jc w:val="both"/>
        <w:rPr>
          <w:lang w:val="fi-FI"/>
        </w:rPr>
      </w:pPr>
      <w:r>
        <w:rPr>
          <w:lang w:val="fi-FI"/>
        </w:rPr>
        <w:t>3.4.1.4.</w:t>
      </w:r>
      <w:r>
        <w:rPr>
          <w:lang w:val="fi-FI"/>
        </w:rPr>
        <w:tab/>
      </w:r>
      <w:r>
        <w:rPr>
          <w:color w:val="000000"/>
          <w:highlight w:val="white"/>
          <w:lang w:val="fi-FI"/>
        </w:rPr>
        <w:t>tiesioginio atsiskaitymo su subtiekėjais galimybė nekeičia Tiekėjo atsakomybės dėl Sutarties įvykdymo.</w:t>
      </w:r>
    </w:p>
    <w:p w14:paraId="000005B7">
      <w:pPr>
        <w:widowControl w:val="0"/>
        <w:tabs>
          <w:tab w:val="left" w:pos="567"/>
          <w:tab w:val="left" w:pos="851"/>
          <w:tab w:val="left" w:pos="992"/>
          <w:tab w:val="left" w:pos="1134"/>
        </w:tabs>
        <w:spacing w:line="259" w:lineRule="auto"/>
        <w:jc w:val="both"/>
        <w:rPr>
          <w:lang w:val="fi-FI"/>
        </w:rPr>
      </w:pPr>
    </w:p>
    <w:p w14:paraId="000005B8">
      <w:pPr>
        <w:widowControl w:val="0"/>
        <w:tabs>
          <w:tab w:val="left" w:pos="567"/>
          <w:tab w:val="left" w:pos="851"/>
          <w:tab w:val="left" w:pos="992"/>
          <w:tab w:val="left" w:pos="1134"/>
        </w:tabs>
        <w:spacing w:line="259" w:lineRule="auto"/>
        <w:ind w:left="360" w:hanging="360"/>
        <w:jc w:val="center"/>
        <w:rPr>
          <w:b/>
          <w:smallCaps/>
          <w:lang w:val="fi-FI"/>
        </w:rPr>
      </w:pPr>
      <w:r>
        <w:rPr>
          <w:b/>
          <w:smallCaps/>
          <w:lang w:val="fi-FI"/>
        </w:rPr>
        <w:t>4.</w:t>
      </w:r>
      <w:r>
        <w:rPr>
          <w:b/>
          <w:smallCaps/>
          <w:lang w:val="fi-FI"/>
        </w:rPr>
        <w:tab/>
      </w:r>
      <w:r>
        <w:rPr>
          <w:b/>
          <w:smallCaps/>
          <w:lang w:val="fi-FI"/>
        </w:rPr>
        <w:t>ŠALIŲ BENDRADARBIAVIMAS</w:t>
      </w:r>
    </w:p>
    <w:p w14:paraId="000005B9">
      <w:pPr>
        <w:widowControl w:val="0"/>
        <w:tabs>
          <w:tab w:val="left" w:pos="567"/>
          <w:tab w:val="left" w:pos="851"/>
          <w:tab w:val="left" w:pos="992"/>
          <w:tab w:val="left" w:pos="1134"/>
        </w:tabs>
        <w:spacing w:line="259" w:lineRule="auto"/>
        <w:jc w:val="both"/>
        <w:rPr>
          <w:b/>
          <w:smallCaps/>
          <w:lang w:val="fi-FI"/>
        </w:rPr>
      </w:pPr>
    </w:p>
    <w:p w14:paraId="000005BA">
      <w:pPr>
        <w:keepNext/>
        <w:keepLines/>
        <w:widowControl w:val="0"/>
        <w:tabs>
          <w:tab w:val="left" w:pos="567"/>
          <w:tab w:val="left" w:pos="851"/>
          <w:tab w:val="left" w:pos="992"/>
          <w:tab w:val="left" w:pos="1134"/>
        </w:tabs>
        <w:spacing w:line="259" w:lineRule="auto"/>
        <w:jc w:val="center"/>
        <w:rPr>
          <w:b/>
          <w:lang w:val="fi-FI"/>
        </w:rPr>
      </w:pPr>
      <w:r>
        <w:rPr>
          <w:b/>
          <w:lang w:val="fi-FI"/>
        </w:rPr>
        <w:t>4.1.</w:t>
      </w:r>
      <w:r>
        <w:rPr>
          <w:b/>
          <w:lang w:val="fi-FI"/>
        </w:rPr>
        <w:tab/>
      </w:r>
      <w:r>
        <w:rPr>
          <w:b/>
          <w:lang w:val="fi-FI"/>
        </w:rPr>
        <w:t>Šalių bendradarbiavimo pareiga</w:t>
      </w:r>
    </w:p>
    <w:p w14:paraId="000005BB">
      <w:pPr>
        <w:keepNext/>
        <w:keepLines/>
        <w:widowControl w:val="0"/>
        <w:tabs>
          <w:tab w:val="left" w:pos="567"/>
          <w:tab w:val="left" w:pos="851"/>
          <w:tab w:val="left" w:pos="992"/>
          <w:tab w:val="left" w:pos="1134"/>
        </w:tabs>
        <w:spacing w:line="259" w:lineRule="auto"/>
        <w:rPr>
          <w:b/>
          <w:lang w:val="fi-FI"/>
        </w:rPr>
      </w:pPr>
    </w:p>
    <w:p w14:paraId="000005BC">
      <w:pPr>
        <w:widowControl w:val="0"/>
        <w:tabs>
          <w:tab w:val="left" w:pos="567"/>
          <w:tab w:val="left" w:pos="851"/>
          <w:tab w:val="left" w:pos="992"/>
          <w:tab w:val="left" w:pos="1134"/>
        </w:tabs>
        <w:spacing w:line="259" w:lineRule="auto"/>
        <w:jc w:val="both"/>
        <w:rPr>
          <w:lang w:val="fi-FI"/>
        </w:rPr>
      </w:pPr>
      <w:r>
        <w:rPr>
          <w:lang w:val="fi-FI"/>
        </w:rPr>
        <w:t>4.1.1.</w:t>
      </w:r>
      <w:r>
        <w:rPr>
          <w:lang w:val="fi-FI"/>
        </w:rPr>
        <w:tab/>
      </w:r>
      <w:r>
        <w:rPr>
          <w:lang w:val="fi-FI"/>
        </w:rPr>
        <w:t xml:space="preserve">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 </w:t>
      </w:r>
    </w:p>
    <w:p w14:paraId="000005BD">
      <w:pPr>
        <w:widowControl w:val="0"/>
        <w:tabs>
          <w:tab w:val="left" w:pos="567"/>
          <w:tab w:val="left" w:pos="851"/>
          <w:tab w:val="left" w:pos="992"/>
          <w:tab w:val="left" w:pos="1134"/>
        </w:tabs>
        <w:spacing w:line="259" w:lineRule="auto"/>
        <w:jc w:val="both"/>
        <w:rPr>
          <w:lang w:val="fi-FI"/>
        </w:rPr>
      </w:pPr>
      <w:r>
        <w:rPr>
          <w:lang w:val="fi-FI"/>
        </w:rPr>
        <w:t>4.1.2.</w:t>
      </w:r>
      <w:r>
        <w:rPr>
          <w:lang w:val="fi-FI"/>
        </w:rPr>
        <w:tab/>
      </w:r>
      <w:r>
        <w:rPr>
          <w:lang w:val="fi-FI"/>
        </w:rPr>
        <w:t>Šalys įsipareigoja užtikrinti, kad viena kitai teiks dokumentus ir (ar) kitą informaciją, kurie yra būtini Šalių tinkamam įsipareigojimų įvykdymui pagal Sutartį.</w:t>
      </w:r>
    </w:p>
    <w:p w14:paraId="000005BE">
      <w:pPr>
        <w:widowControl w:val="0"/>
        <w:tabs>
          <w:tab w:val="left" w:pos="567"/>
          <w:tab w:val="left" w:pos="851"/>
          <w:tab w:val="left" w:pos="992"/>
          <w:tab w:val="left" w:pos="1134"/>
        </w:tabs>
        <w:spacing w:line="259" w:lineRule="auto"/>
        <w:jc w:val="both"/>
        <w:rPr>
          <w:lang w:val="fi-FI"/>
        </w:rPr>
      </w:pPr>
      <w:r>
        <w:rPr>
          <w:lang w:val="fi-FI"/>
        </w:rPr>
        <w:t>4.1.3.</w:t>
      </w:r>
      <w:r>
        <w:rPr>
          <w:lang w:val="fi-FI"/>
        </w:rPr>
        <w:tab/>
      </w:r>
      <w:r>
        <w:rPr>
          <w:highlight w:val="white"/>
          <w:lang w:val="fi-FI"/>
        </w:rPr>
        <w:t xml:space="preserve">Jeigu Šalis susiduria su </w:t>
      </w:r>
      <w:r>
        <w:rPr>
          <w:lang w:val="fi-FI"/>
        </w:rPr>
        <w:t>S</w:t>
      </w:r>
      <w:r>
        <w:rPr>
          <w:highlight w:val="white"/>
          <w:lang w:val="fi-FI"/>
        </w:rPr>
        <w:t>utarties vykdymo kliūtimi, ji turi nedelsdama, bet ne vėliau kaip per 5 (penkias) darbo dienas, įspėti kitą Šalį apie tokia</w:t>
      </w:r>
      <w:r>
        <w:rPr>
          <w:lang w:val="fi-FI"/>
        </w:rPr>
        <w:t>s</w:t>
      </w:r>
      <w:r>
        <w:rPr>
          <w:highlight w:val="white"/>
          <w:lang w:val="fi-FI"/>
        </w:rPr>
        <w:t xml:space="preserve"> kliūtis</w:t>
      </w:r>
      <w:r>
        <w:rPr>
          <w:lang w:val="fi-FI"/>
        </w:rPr>
        <w:t xml:space="preserve"> ir imtis visų nuo jos priklausančių protingų priemonių toms kliūtims pašalinti. </w:t>
      </w:r>
    </w:p>
    <w:p w14:paraId="000005BF">
      <w:pPr>
        <w:widowControl w:val="0"/>
        <w:tabs>
          <w:tab w:val="left" w:pos="567"/>
          <w:tab w:val="left" w:pos="851"/>
          <w:tab w:val="left" w:pos="992"/>
          <w:tab w:val="left" w:pos="1134"/>
        </w:tabs>
        <w:spacing w:line="259" w:lineRule="auto"/>
        <w:ind w:firstLine="53"/>
        <w:jc w:val="both"/>
        <w:rPr>
          <w:lang w:val="fi-FI"/>
        </w:rPr>
      </w:pPr>
    </w:p>
    <w:p w14:paraId="000005C0">
      <w:pPr>
        <w:keepNext/>
        <w:keepLines/>
        <w:widowControl w:val="0"/>
        <w:tabs>
          <w:tab w:val="left" w:pos="567"/>
          <w:tab w:val="left" w:pos="851"/>
          <w:tab w:val="left" w:pos="992"/>
          <w:tab w:val="left" w:pos="1134"/>
        </w:tabs>
        <w:spacing w:line="259" w:lineRule="auto"/>
        <w:jc w:val="center"/>
        <w:rPr>
          <w:b/>
          <w:color w:val="000000"/>
          <w:lang w:val="fi-FI"/>
        </w:rPr>
      </w:pPr>
      <w:r>
        <w:rPr>
          <w:b/>
          <w:color w:val="000000"/>
          <w:lang w:val="fi-FI"/>
        </w:rPr>
        <w:t>4.2.</w:t>
      </w:r>
      <w:r>
        <w:rPr>
          <w:b/>
          <w:color w:val="000000"/>
          <w:lang w:val="fi-FI"/>
        </w:rPr>
        <w:tab/>
      </w:r>
      <w:r>
        <w:rPr>
          <w:b/>
          <w:lang w:val="fi-FI"/>
        </w:rPr>
        <w:t>Kontaktiniai asmenys</w:t>
      </w:r>
    </w:p>
    <w:p w14:paraId="000005C1">
      <w:pPr>
        <w:keepNext/>
        <w:keepLines/>
        <w:widowControl w:val="0"/>
        <w:tabs>
          <w:tab w:val="left" w:pos="567"/>
          <w:tab w:val="left" w:pos="851"/>
          <w:tab w:val="left" w:pos="992"/>
          <w:tab w:val="left" w:pos="1134"/>
        </w:tabs>
        <w:spacing w:line="259" w:lineRule="auto"/>
        <w:jc w:val="both"/>
        <w:rPr>
          <w:b/>
          <w:color w:val="000000"/>
          <w:lang w:val="fi-FI"/>
        </w:rPr>
      </w:pPr>
    </w:p>
    <w:p w14:paraId="000005C2">
      <w:pPr>
        <w:widowControl w:val="0"/>
        <w:tabs>
          <w:tab w:val="left" w:pos="567"/>
          <w:tab w:val="left" w:pos="709"/>
          <w:tab w:val="left" w:pos="851"/>
          <w:tab w:val="left" w:pos="992"/>
          <w:tab w:val="left" w:pos="1134"/>
        </w:tabs>
        <w:spacing w:line="259" w:lineRule="auto"/>
        <w:jc w:val="both"/>
        <w:rPr>
          <w:lang w:val="fi-FI"/>
        </w:rPr>
      </w:pPr>
      <w:r>
        <w:rPr>
          <w:lang w:val="fi-FI"/>
        </w:rPr>
        <w:t>4.2.1.</w:t>
      </w:r>
      <w:r>
        <w:rPr>
          <w:lang w:val="fi-FI"/>
        </w:rPr>
        <w:tab/>
      </w:r>
      <w:r>
        <w:rPr>
          <w:lang w:val="fi-FI"/>
        </w:rPr>
        <w:t xml:space="preserve">Kiekviena iš Šalių Sutarties sudarymo metu privalo paskirti kontaktinį asmenį, atsakingą už Sutarties vykdymą (pavyzdžiui, Prekių priėmimą, užsakymų teikimą ir gavimą ir kt.), ir nurodyti jų kontaktinius duomenis Specialiosiose sąlygose. </w:t>
      </w:r>
    </w:p>
    <w:p w14:paraId="000005C3">
      <w:pPr>
        <w:widowControl w:val="0"/>
        <w:tabs>
          <w:tab w:val="left" w:pos="567"/>
          <w:tab w:val="left" w:pos="709"/>
          <w:tab w:val="left" w:pos="851"/>
          <w:tab w:val="left" w:pos="992"/>
          <w:tab w:val="left" w:pos="1134"/>
        </w:tabs>
        <w:spacing w:line="259" w:lineRule="auto"/>
        <w:jc w:val="both"/>
        <w:rPr>
          <w:lang w:val="fi-FI"/>
        </w:rPr>
      </w:pPr>
      <w:r>
        <w:rPr>
          <w:lang w:val="fi-FI"/>
        </w:rPr>
        <w:t>4.2.2.</w:t>
      </w:r>
      <w:r>
        <w:rPr>
          <w:lang w:val="fi-FI"/>
        </w:rPr>
        <w:tab/>
      </w:r>
      <w:r>
        <w:rPr>
          <w:lang w:val="fi-FI"/>
        </w:rP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00005C4">
      <w:pPr>
        <w:widowControl w:val="0"/>
        <w:tabs>
          <w:tab w:val="left" w:pos="567"/>
          <w:tab w:val="left" w:pos="709"/>
          <w:tab w:val="left" w:pos="851"/>
          <w:tab w:val="left" w:pos="992"/>
          <w:tab w:val="left" w:pos="1134"/>
        </w:tabs>
        <w:spacing w:line="259" w:lineRule="auto"/>
        <w:jc w:val="both"/>
        <w:rPr>
          <w:lang w:val="fi-FI"/>
        </w:rPr>
      </w:pPr>
      <w:r>
        <w:rPr>
          <w:lang w:val="fi-FI"/>
        </w:rPr>
        <w:t>4.2.3.</w:t>
      </w:r>
      <w:r>
        <w:rPr>
          <w:lang w:val="fi-FI"/>
        </w:rPr>
        <w:tab/>
      </w:r>
      <w:r>
        <w:rPr>
          <w:lang w:val="fi-FI"/>
        </w:rPr>
        <w:t xml:space="preserve">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 </w:t>
      </w:r>
    </w:p>
    <w:p w14:paraId="000005C5">
      <w:pPr>
        <w:widowControl w:val="0"/>
        <w:tabs>
          <w:tab w:val="left" w:pos="567"/>
          <w:tab w:val="left" w:pos="709"/>
          <w:tab w:val="left" w:pos="851"/>
          <w:tab w:val="left" w:pos="992"/>
          <w:tab w:val="left" w:pos="1134"/>
        </w:tabs>
        <w:spacing w:line="259" w:lineRule="auto"/>
        <w:jc w:val="both"/>
        <w:rPr>
          <w:lang w:val="fi-FI"/>
        </w:rPr>
      </w:pPr>
    </w:p>
    <w:p w14:paraId="000005C6">
      <w:pPr>
        <w:keepNext/>
        <w:keepLines/>
        <w:widowControl w:val="0"/>
        <w:tabs>
          <w:tab w:val="left" w:pos="284"/>
          <w:tab w:val="left" w:pos="567"/>
          <w:tab w:val="left" w:pos="851"/>
          <w:tab w:val="left" w:pos="992"/>
          <w:tab w:val="left" w:pos="1134"/>
        </w:tabs>
        <w:spacing w:line="259" w:lineRule="auto"/>
        <w:jc w:val="center"/>
        <w:rPr>
          <w:b/>
          <w:smallCaps/>
          <w:lang w:val="fi-FI"/>
        </w:rPr>
      </w:pPr>
      <w:r>
        <w:rPr>
          <w:b/>
          <w:smallCaps/>
          <w:lang w:val="fi-FI"/>
        </w:rPr>
        <w:t>5.</w:t>
      </w:r>
      <w:r>
        <w:rPr>
          <w:b/>
          <w:smallCaps/>
          <w:lang w:val="fi-FI"/>
        </w:rPr>
        <w:tab/>
      </w:r>
      <w:r>
        <w:rPr>
          <w:b/>
          <w:smallCaps/>
          <w:lang w:val="fi-FI"/>
        </w:rPr>
        <w:t>SUTARTIES VYKDYMO METU PATEIKIAMI DOKUMENTAI</w:t>
      </w:r>
    </w:p>
    <w:p w14:paraId="000005C7">
      <w:pPr>
        <w:keepNext/>
        <w:keepLines/>
        <w:tabs>
          <w:tab w:val="left" w:pos="0"/>
          <w:tab w:val="left" w:pos="426"/>
          <w:tab w:val="left" w:pos="567"/>
          <w:tab w:val="left" w:pos="851"/>
          <w:tab w:val="left" w:pos="992"/>
          <w:tab w:val="left" w:pos="1134"/>
        </w:tabs>
        <w:spacing w:line="259" w:lineRule="auto"/>
        <w:jc w:val="both"/>
        <w:rPr>
          <w:b/>
          <w:lang w:val="fi-FI"/>
        </w:rPr>
      </w:pPr>
    </w:p>
    <w:p w14:paraId="000005C8">
      <w:pPr>
        <w:widowControl w:val="0"/>
        <w:tabs>
          <w:tab w:val="left" w:pos="567"/>
          <w:tab w:val="left" w:pos="709"/>
          <w:tab w:val="left" w:pos="851"/>
          <w:tab w:val="left" w:pos="992"/>
          <w:tab w:val="left" w:pos="1134"/>
        </w:tabs>
        <w:spacing w:line="259" w:lineRule="auto"/>
        <w:jc w:val="both"/>
        <w:rPr>
          <w:lang w:val="fi-FI"/>
        </w:rPr>
      </w:pPr>
      <w:r>
        <w:rPr>
          <w:lang w:val="fi-FI"/>
        </w:rPr>
        <w:t>5.1.</w:t>
      </w:r>
      <w:r>
        <w:rPr>
          <w:lang w:val="fi-FI"/>
        </w:rPr>
        <w:tab/>
      </w:r>
      <w:r>
        <w:rPr>
          <w:lang w:val="fi-FI"/>
        </w:rPr>
        <w:t>Jeigu Tiekėjas turi parengti ir (ar) pateikti Pirkėjui Prekių naudojimo instrukcijas, jos turi būti aiškios ir detalios, kad Pirkėjas, vadovaudamasis jomis, galėtų tinkamai naudoti patiektas Prekes.</w:t>
      </w:r>
    </w:p>
    <w:p w14:paraId="000005C9">
      <w:pPr>
        <w:widowControl w:val="0"/>
        <w:tabs>
          <w:tab w:val="left" w:pos="567"/>
          <w:tab w:val="left" w:pos="709"/>
          <w:tab w:val="left" w:pos="851"/>
          <w:tab w:val="left" w:pos="992"/>
          <w:tab w:val="left" w:pos="1134"/>
        </w:tabs>
        <w:spacing w:line="259" w:lineRule="auto"/>
        <w:jc w:val="both"/>
        <w:rPr>
          <w:lang w:val="fi-FI"/>
        </w:rPr>
      </w:pPr>
      <w:r>
        <w:rPr>
          <w:lang w:val="fi-FI"/>
        </w:rPr>
        <w:t>5.2.</w:t>
      </w:r>
      <w:r>
        <w:rPr>
          <w:lang w:val="fi-FI"/>
        </w:rPr>
        <w:tab/>
      </w:r>
      <w:r>
        <w:rPr>
          <w:lang w:val="fi-FI"/>
        </w:rPr>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00005CA">
      <w:pPr>
        <w:widowControl w:val="0"/>
        <w:tabs>
          <w:tab w:val="left" w:pos="567"/>
          <w:tab w:val="left" w:pos="709"/>
          <w:tab w:val="left" w:pos="851"/>
          <w:tab w:val="left" w:pos="992"/>
          <w:tab w:val="left" w:pos="1134"/>
        </w:tabs>
        <w:spacing w:line="259" w:lineRule="auto"/>
        <w:jc w:val="both"/>
        <w:rPr>
          <w:lang w:val="fi-FI"/>
        </w:rPr>
      </w:pPr>
      <w:r>
        <w:rPr>
          <w:lang w:val="fi-FI"/>
        </w:rPr>
        <w:t xml:space="preserve">5.3. </w:t>
      </w:r>
      <w:r>
        <w:rPr>
          <w:lang w:val="fi-FI"/>
        </w:rPr>
        <w:tab/>
      </w:r>
      <w:r>
        <w:rPr>
          <w:lang w:val="fi-FI"/>
        </w:rPr>
        <w:t>Jei Prekių naudojimui būtiniems dokumentams reikalingas vertimas, su tuo susijusios išlaidos tenka Tiekėjui. Jei Tiekėjas Prekių naudojimui būtinus dokumentus verčia savarankiškai, jis atsako už šių dokumentų vertimo tikslumą.</w:t>
      </w:r>
    </w:p>
    <w:p w14:paraId="000005CB">
      <w:pPr>
        <w:widowControl w:val="0"/>
        <w:tabs>
          <w:tab w:val="left" w:pos="567"/>
          <w:tab w:val="left" w:pos="709"/>
          <w:tab w:val="left" w:pos="851"/>
          <w:tab w:val="left" w:pos="992"/>
          <w:tab w:val="left" w:pos="1134"/>
        </w:tabs>
        <w:spacing w:line="259" w:lineRule="auto"/>
        <w:jc w:val="both"/>
        <w:rPr>
          <w:lang w:val="fi-FI"/>
        </w:rPr>
      </w:pPr>
    </w:p>
    <w:p w14:paraId="000005CC">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6.</w:t>
      </w:r>
      <w:r>
        <w:rPr>
          <w:b/>
          <w:smallCaps/>
          <w:lang w:val="fi-FI"/>
        </w:rPr>
        <w:tab/>
      </w:r>
      <w:r>
        <w:rPr>
          <w:b/>
          <w:smallCaps/>
          <w:lang w:val="fi-FI"/>
        </w:rPr>
        <w:t>PREKIŲ TIEKIMO PABAIGA IR PREKIŲ PRIĖMIMAS</w:t>
      </w:r>
    </w:p>
    <w:p w14:paraId="000005CD">
      <w:pPr>
        <w:keepNext/>
        <w:keepLines/>
        <w:widowControl w:val="0"/>
        <w:tabs>
          <w:tab w:val="left" w:pos="426"/>
          <w:tab w:val="left" w:pos="567"/>
          <w:tab w:val="left" w:pos="851"/>
          <w:tab w:val="left" w:pos="992"/>
          <w:tab w:val="left" w:pos="1134"/>
        </w:tabs>
        <w:spacing w:line="259" w:lineRule="auto"/>
        <w:rPr>
          <w:b/>
          <w:smallCaps/>
          <w:lang w:val="fi-FI"/>
        </w:rPr>
      </w:pPr>
    </w:p>
    <w:p w14:paraId="000005CE">
      <w:pPr>
        <w:keepNext/>
        <w:keepLines/>
        <w:widowControl w:val="0"/>
        <w:tabs>
          <w:tab w:val="left" w:pos="567"/>
          <w:tab w:val="left" w:pos="851"/>
          <w:tab w:val="left" w:pos="992"/>
          <w:tab w:val="left" w:pos="1134"/>
        </w:tabs>
        <w:spacing w:line="259" w:lineRule="auto"/>
        <w:jc w:val="center"/>
        <w:rPr>
          <w:b/>
          <w:lang w:val="fi-FI"/>
        </w:rPr>
      </w:pPr>
      <w:r>
        <w:rPr>
          <w:b/>
          <w:lang w:val="fi-FI"/>
        </w:rPr>
        <w:t>6.1.</w:t>
      </w:r>
      <w:r>
        <w:rPr>
          <w:b/>
          <w:lang w:val="fi-FI"/>
        </w:rPr>
        <w:tab/>
      </w:r>
      <w:r>
        <w:rPr>
          <w:b/>
          <w:lang w:val="fi-FI"/>
        </w:rPr>
        <w:t>Prekių tiekimo pabaiga</w:t>
      </w:r>
    </w:p>
    <w:p w14:paraId="000005CF">
      <w:pPr>
        <w:keepNext/>
        <w:keepLines/>
        <w:widowControl w:val="0"/>
        <w:tabs>
          <w:tab w:val="left" w:pos="567"/>
          <w:tab w:val="left" w:pos="851"/>
          <w:tab w:val="left" w:pos="992"/>
          <w:tab w:val="left" w:pos="1134"/>
        </w:tabs>
        <w:spacing w:line="259" w:lineRule="auto"/>
        <w:rPr>
          <w:b/>
          <w:lang w:val="fi-FI"/>
        </w:rPr>
      </w:pPr>
    </w:p>
    <w:p w14:paraId="000005D0">
      <w:pPr>
        <w:widowControl w:val="0"/>
        <w:tabs>
          <w:tab w:val="left" w:pos="567"/>
          <w:tab w:val="left" w:pos="851"/>
          <w:tab w:val="left" w:pos="992"/>
          <w:tab w:val="left" w:pos="1134"/>
        </w:tabs>
        <w:spacing w:line="259" w:lineRule="auto"/>
        <w:jc w:val="both"/>
        <w:rPr>
          <w:lang w:val="fi-FI"/>
        </w:rPr>
      </w:pPr>
      <w:r>
        <w:rPr>
          <w:lang w:val="fi-FI"/>
        </w:rPr>
        <w:t>6.1.1.</w:t>
      </w:r>
      <w:r>
        <w:rPr>
          <w:lang w:val="fi-FI"/>
        </w:rPr>
        <w:tab/>
      </w:r>
      <w:r>
        <w:rPr>
          <w:lang w:val="fi-FI"/>
        </w:rPr>
        <w:t xml:space="preserve">Prekių tiekimas laikomas užbaigtu, kai yra įvykdytos visos šios sąlygos: </w:t>
      </w:r>
    </w:p>
    <w:p w14:paraId="000005D1">
      <w:pPr>
        <w:widowControl w:val="0"/>
        <w:tabs>
          <w:tab w:val="left" w:pos="567"/>
          <w:tab w:val="left" w:pos="851"/>
          <w:tab w:val="left" w:pos="992"/>
          <w:tab w:val="left" w:pos="1134"/>
        </w:tabs>
        <w:spacing w:line="259" w:lineRule="auto"/>
        <w:jc w:val="both"/>
        <w:rPr>
          <w:lang w:val="fi-FI"/>
        </w:rPr>
      </w:pPr>
      <w:r>
        <w:rPr>
          <w:lang w:val="fi-FI"/>
        </w:rPr>
        <w:t>6.1.1.1.</w:t>
      </w:r>
      <w:r>
        <w:rPr>
          <w:lang w:val="fi-FI"/>
        </w:rPr>
        <w:tab/>
      </w:r>
      <w:r>
        <w:rPr>
          <w:lang w:val="fi-FI"/>
        </w:rPr>
        <w:t xml:space="preserve">Tiekėjas pristatė visas Prekes pagal Sutarties ir įstatymų bei kitų teisės aktų reikalavimus (ir kai suteiktos visos su Prekėmis susijusios paslaugos, jei to reikalaujama), </w:t>
      </w:r>
    </w:p>
    <w:p w14:paraId="000005D2">
      <w:pPr>
        <w:widowControl w:val="0"/>
        <w:tabs>
          <w:tab w:val="left" w:pos="567"/>
          <w:tab w:val="left" w:pos="851"/>
          <w:tab w:val="left" w:pos="992"/>
          <w:tab w:val="left" w:pos="1134"/>
        </w:tabs>
        <w:spacing w:line="259" w:lineRule="auto"/>
        <w:jc w:val="both"/>
        <w:rPr>
          <w:lang w:val="fi-FI"/>
        </w:rPr>
      </w:pPr>
      <w:r>
        <w:rPr>
          <w:lang w:val="fi-FI"/>
        </w:rPr>
        <w:t>6.1.1.2.</w:t>
      </w:r>
      <w:r>
        <w:rPr>
          <w:lang w:val="fi-FI"/>
        </w:rPr>
        <w:tab/>
      </w:r>
      <w:r>
        <w:rPr>
          <w:lang w:val="fi-FI"/>
        </w:rPr>
        <w:t>Tiekėjas perdavė Pirkėjui visą reikalingą dokumentaciją, įskaitant naudojimo instrukcijas ir garantijas (jei to reikalaujama),</w:t>
      </w:r>
    </w:p>
    <w:p w14:paraId="000005D3">
      <w:pPr>
        <w:widowControl w:val="0"/>
        <w:tabs>
          <w:tab w:val="left" w:pos="567"/>
          <w:tab w:val="left" w:pos="851"/>
          <w:tab w:val="left" w:pos="992"/>
          <w:tab w:val="left" w:pos="1134"/>
        </w:tabs>
        <w:spacing w:line="259" w:lineRule="auto"/>
        <w:jc w:val="both"/>
        <w:rPr>
          <w:lang w:val="fi-FI"/>
        </w:rPr>
      </w:pPr>
      <w:r>
        <w:rPr>
          <w:lang w:val="fi-FI"/>
        </w:rPr>
        <w:t>6.1.1.3.</w:t>
      </w:r>
      <w:r>
        <w:rPr>
          <w:lang w:val="fi-FI"/>
        </w:rPr>
        <w:tab/>
      </w:r>
      <w:r>
        <w:rPr>
          <w:lang w:val="fi-FI"/>
        </w:rPr>
        <w:t>Tiekėjas apmokė Pirkėjo personalą, kaip naudoti Prekes (jeigu to reikalaujama),</w:t>
      </w:r>
    </w:p>
    <w:p w14:paraId="000005D4">
      <w:pPr>
        <w:widowControl w:val="0"/>
        <w:tabs>
          <w:tab w:val="left" w:pos="567"/>
          <w:tab w:val="left" w:pos="851"/>
          <w:tab w:val="left" w:pos="992"/>
          <w:tab w:val="left" w:pos="1134"/>
        </w:tabs>
        <w:spacing w:line="259" w:lineRule="auto"/>
        <w:jc w:val="both"/>
        <w:rPr>
          <w:lang w:val="fi-FI"/>
        </w:rPr>
      </w:pPr>
      <w:r>
        <w:rPr>
          <w:lang w:val="fi-FI"/>
        </w:rPr>
        <w:t>6.1.1.4.</w:t>
      </w:r>
      <w:r>
        <w:rPr>
          <w:lang w:val="fi-FI"/>
        </w:rPr>
        <w:tab/>
      </w:r>
      <w:r>
        <w:rPr>
          <w:lang w:val="fi-FI"/>
        </w:rPr>
        <w:t>buvo įformintas Prekių perdavimo-priėmimo aktas ar Prekių perdavimo–priėmimo aktai, jei numatytas Prekių pristatymas dalimis, ar kitas Sutartyje numatytas dokumentas, nuo kurio pasirašymo laikoma, kad Prekės buvo priimtos,</w:t>
      </w:r>
    </w:p>
    <w:p w14:paraId="000005D5">
      <w:pPr>
        <w:widowControl w:val="0"/>
        <w:tabs>
          <w:tab w:val="left" w:pos="567"/>
          <w:tab w:val="left" w:pos="851"/>
          <w:tab w:val="left" w:pos="992"/>
          <w:tab w:val="left" w:pos="1134"/>
        </w:tabs>
        <w:spacing w:line="259" w:lineRule="auto"/>
        <w:jc w:val="both"/>
        <w:rPr>
          <w:lang w:val="fi-FI"/>
        </w:rPr>
      </w:pPr>
      <w:r>
        <w:rPr>
          <w:lang w:val="fi-FI"/>
        </w:rPr>
        <w:t>6.1.1.5.</w:t>
      </w:r>
      <w:r>
        <w:rPr>
          <w:lang w:val="fi-FI"/>
        </w:rPr>
        <w:tab/>
      </w:r>
      <w:r>
        <w:rPr>
          <w:lang w:val="fi-FI"/>
        </w:rPr>
        <w:t>Tiekėjas įvykdė kitas sąlygas, numatytas įstatymuose bei kituose teisės aktuose, Sutartyje ir pasiūlyme, kurios turi būti įvykdytos tam, kad būtų laikoma, jog Prekių tiekimas yra užbaigtas, ir pateikė Pirkėjui tai įrodančius dokumentus.</w:t>
      </w:r>
    </w:p>
    <w:p w14:paraId="000005D6">
      <w:pPr>
        <w:widowControl w:val="0"/>
        <w:tabs>
          <w:tab w:val="left" w:pos="567"/>
          <w:tab w:val="left" w:pos="851"/>
          <w:tab w:val="left" w:pos="992"/>
          <w:tab w:val="left" w:pos="1134"/>
        </w:tabs>
        <w:spacing w:line="259" w:lineRule="auto"/>
        <w:jc w:val="both"/>
        <w:rPr>
          <w:lang w:val="fi-FI"/>
        </w:rPr>
      </w:pPr>
    </w:p>
    <w:p w14:paraId="000005D7">
      <w:pPr>
        <w:keepNext/>
        <w:keepLines/>
        <w:widowControl w:val="0"/>
        <w:tabs>
          <w:tab w:val="left" w:pos="567"/>
          <w:tab w:val="left" w:pos="851"/>
          <w:tab w:val="left" w:pos="992"/>
          <w:tab w:val="left" w:pos="1134"/>
        </w:tabs>
        <w:spacing w:line="259" w:lineRule="auto"/>
        <w:jc w:val="center"/>
        <w:rPr>
          <w:b/>
          <w:lang w:val="fi-FI"/>
        </w:rPr>
      </w:pPr>
      <w:r>
        <w:rPr>
          <w:b/>
          <w:lang w:val="fi-FI"/>
        </w:rPr>
        <w:t>6.2.</w:t>
      </w:r>
      <w:r>
        <w:rPr>
          <w:b/>
          <w:lang w:val="fi-FI"/>
        </w:rPr>
        <w:tab/>
      </w:r>
      <w:r>
        <w:rPr>
          <w:b/>
          <w:lang w:val="fi-FI"/>
        </w:rPr>
        <w:t>Prekių perdavimas–priėmimas</w:t>
      </w:r>
    </w:p>
    <w:p w14:paraId="000005D8">
      <w:pPr>
        <w:keepNext/>
        <w:keepLines/>
        <w:widowControl w:val="0"/>
        <w:tabs>
          <w:tab w:val="left" w:pos="567"/>
          <w:tab w:val="left" w:pos="851"/>
          <w:tab w:val="left" w:pos="992"/>
          <w:tab w:val="left" w:pos="1134"/>
        </w:tabs>
        <w:spacing w:line="259" w:lineRule="auto"/>
        <w:jc w:val="both"/>
        <w:rPr>
          <w:b/>
          <w:lang w:val="fi-FI"/>
        </w:rPr>
      </w:pPr>
    </w:p>
    <w:p w14:paraId="000005D9">
      <w:pPr>
        <w:widowControl w:val="0"/>
        <w:tabs>
          <w:tab w:val="left" w:pos="567"/>
          <w:tab w:val="left" w:pos="709"/>
          <w:tab w:val="left" w:pos="851"/>
          <w:tab w:val="left" w:pos="992"/>
          <w:tab w:val="left" w:pos="1134"/>
        </w:tabs>
        <w:spacing w:line="259" w:lineRule="auto"/>
        <w:jc w:val="both"/>
        <w:rPr>
          <w:lang w:val="fi-FI"/>
        </w:rPr>
      </w:pPr>
      <w:r>
        <w:rPr>
          <w:lang w:val="fi-FI"/>
        </w:rPr>
        <w:t>6.2.1.</w:t>
      </w:r>
      <w:r>
        <w:rPr>
          <w:lang w:val="fi-FI"/>
        </w:rPr>
        <w:tab/>
      </w:r>
      <w:r>
        <w:rPr>
          <w:lang w:val="fi-FI"/>
        </w:rPr>
        <w:t xml:space="preserve">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00005DA">
      <w:pPr>
        <w:widowControl w:val="0"/>
        <w:tabs>
          <w:tab w:val="left" w:pos="567"/>
          <w:tab w:val="left" w:pos="709"/>
          <w:tab w:val="left" w:pos="851"/>
          <w:tab w:val="left" w:pos="992"/>
          <w:tab w:val="left" w:pos="1134"/>
        </w:tabs>
        <w:spacing w:line="259" w:lineRule="auto"/>
        <w:jc w:val="both"/>
        <w:rPr>
          <w:lang w:val="fi-FI"/>
        </w:rPr>
      </w:pPr>
      <w:r>
        <w:rPr>
          <w:lang w:val="fi-FI"/>
        </w:rPr>
        <w:t>6.2.2.</w:t>
      </w:r>
      <w:r>
        <w:rPr>
          <w:lang w:val="fi-FI"/>
        </w:rPr>
        <w:tab/>
      </w:r>
      <w:r>
        <w:rPr>
          <w:lang w:val="fi-FI"/>
        </w:rPr>
        <w:t xml:space="preserve">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Prekių perdavimo–priėmimo aktu laikoma Sąskaita. </w:t>
      </w:r>
    </w:p>
    <w:p w14:paraId="000005DB">
      <w:pPr>
        <w:widowControl w:val="0"/>
        <w:tabs>
          <w:tab w:val="left" w:pos="567"/>
          <w:tab w:val="left" w:pos="709"/>
          <w:tab w:val="left" w:pos="851"/>
          <w:tab w:val="left" w:pos="992"/>
          <w:tab w:val="left" w:pos="1134"/>
        </w:tabs>
        <w:spacing w:line="259" w:lineRule="auto"/>
        <w:jc w:val="both"/>
        <w:rPr>
          <w:lang w:val="fi-FI"/>
        </w:rPr>
      </w:pPr>
      <w:r>
        <w:rPr>
          <w:lang w:val="fi-FI"/>
        </w:rPr>
        <w:t>6.2.3.</w:t>
      </w:r>
      <w:r>
        <w:rPr>
          <w:lang w:val="fi-FI"/>
        </w:rPr>
        <w:tab/>
      </w:r>
      <w:r>
        <w:rPr>
          <w:lang w:val="fi-FI"/>
        </w:rPr>
        <w:t xml:space="preserve">Tiekėjui pristačius Prekes, Pirkėjas atlieka jų patikrinimą ir privalo: </w:t>
      </w:r>
    </w:p>
    <w:p w14:paraId="000005DC">
      <w:pPr>
        <w:widowControl w:val="0"/>
        <w:tabs>
          <w:tab w:val="left" w:pos="567"/>
          <w:tab w:val="left" w:pos="851"/>
          <w:tab w:val="left" w:pos="992"/>
          <w:tab w:val="left" w:pos="1134"/>
        </w:tabs>
        <w:spacing w:line="259" w:lineRule="auto"/>
        <w:jc w:val="both"/>
        <w:rPr>
          <w:lang w:val="fi-FI"/>
        </w:rPr>
      </w:pPr>
      <w:r>
        <w:rPr>
          <w:lang w:val="fi-FI"/>
        </w:rPr>
        <w:t>6.2.3.1.</w:t>
      </w:r>
      <w:r>
        <w:rPr>
          <w:lang w:val="fi-FI"/>
        </w:rPr>
        <w:tab/>
      </w:r>
      <w:r>
        <w:rPr>
          <w:lang w:val="fi-FI"/>
        </w:rPr>
        <w:t>ne vėliau kaip per 5 (penkias) darbo dienas nuo faktinio Prekių perdavimo priimti Prekes, pasirašydamas Prekių perdavimo–priėmimo aktą; arba</w:t>
      </w:r>
    </w:p>
    <w:p w14:paraId="000005DD">
      <w:pPr>
        <w:widowControl w:val="0"/>
        <w:tabs>
          <w:tab w:val="left" w:pos="567"/>
          <w:tab w:val="left" w:pos="851"/>
          <w:tab w:val="left" w:pos="992"/>
          <w:tab w:val="left" w:pos="1134"/>
        </w:tabs>
        <w:spacing w:line="259" w:lineRule="auto"/>
        <w:jc w:val="both"/>
        <w:rPr>
          <w:lang w:val="fi-FI"/>
        </w:rPr>
      </w:pPr>
      <w:r>
        <w:rPr>
          <w:lang w:val="fi-FI"/>
        </w:rPr>
        <w:t>6.2.3.2.</w:t>
      </w:r>
      <w:r>
        <w:rPr>
          <w:lang w:val="fi-FI"/>
        </w:rPr>
        <w:tab/>
      </w:r>
      <w:r>
        <w:rPr>
          <w:lang w:val="fi-FI"/>
        </w:rPr>
        <w:t xml:space="preserve">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lang w:val="fi-FI"/>
        </w:rPr>
        <w:t>Defektų aktas</w:t>
      </w:r>
      <w:r>
        <w:rPr>
          <w:lang w:val="fi-FI"/>
        </w:rPr>
        <w:t>); arba</w:t>
      </w:r>
    </w:p>
    <w:p w14:paraId="000005DE">
      <w:pPr>
        <w:widowControl w:val="0"/>
        <w:tabs>
          <w:tab w:val="left" w:pos="567"/>
          <w:tab w:val="left" w:pos="851"/>
          <w:tab w:val="left" w:pos="992"/>
          <w:tab w:val="left" w:pos="1134"/>
        </w:tabs>
        <w:spacing w:line="259" w:lineRule="auto"/>
        <w:jc w:val="both"/>
        <w:rPr>
          <w:lang w:val="fi-FI"/>
        </w:rPr>
      </w:pPr>
      <w:r>
        <w:rPr>
          <w:lang w:val="fi-FI"/>
        </w:rPr>
        <w:t>6.2.3.3.</w:t>
      </w:r>
      <w:r>
        <w:rPr>
          <w:lang w:val="fi-FI"/>
        </w:rPr>
        <w:tab/>
      </w:r>
      <w:r>
        <w:rPr>
          <w:lang w:val="fi-FI"/>
        </w:rPr>
        <w:t xml:space="preserve">atsisakyti priimti Prekes ar jų dalį ir įteikti (arba išsiųsti) Defektų aktą Tiekėjui dėl netinkamų Prekių ar jų dalies.  </w:t>
      </w:r>
    </w:p>
    <w:p w14:paraId="000005DF">
      <w:pPr>
        <w:widowControl w:val="0"/>
        <w:tabs>
          <w:tab w:val="left" w:pos="567"/>
          <w:tab w:val="left" w:pos="851"/>
          <w:tab w:val="left" w:pos="992"/>
          <w:tab w:val="left" w:pos="1134"/>
        </w:tabs>
        <w:spacing w:line="259" w:lineRule="auto"/>
        <w:jc w:val="both"/>
        <w:rPr>
          <w:lang w:val="fi-FI"/>
        </w:rPr>
      </w:pPr>
      <w:r>
        <w:rPr>
          <w:lang w:val="fi-FI"/>
        </w:rPr>
        <w:t>6.2.4.</w:t>
      </w:r>
      <w:r>
        <w:rPr>
          <w:lang w:val="fi-FI"/>
        </w:rPr>
        <w:tab/>
      </w:r>
      <w:r>
        <w:rPr>
          <w:lang w:val="fi-FI"/>
        </w:rPr>
        <w:t xml:space="preserve">Prekių perdavimo–priėmimo akte turi būti nurodoma data, kada Tiekėjas pristatė visas Prekes (ar atitinkamą jų dalį, kai Sutartyje numatytas pristatymas dalimis) ir pateikė visus reikiamus dokumentus. </w:t>
      </w:r>
    </w:p>
    <w:p w14:paraId="000005E0">
      <w:pPr>
        <w:widowControl w:val="0"/>
        <w:tabs>
          <w:tab w:val="left" w:pos="567"/>
          <w:tab w:val="left" w:pos="851"/>
          <w:tab w:val="left" w:pos="992"/>
          <w:tab w:val="left" w:pos="1134"/>
        </w:tabs>
        <w:spacing w:line="259" w:lineRule="auto"/>
        <w:jc w:val="both"/>
        <w:rPr>
          <w:lang w:val="fi-FI"/>
        </w:rPr>
      </w:pPr>
      <w:r>
        <w:rPr>
          <w:lang w:val="fi-FI"/>
        </w:rPr>
        <w:t>6.2.5.</w:t>
      </w:r>
      <w:r>
        <w:rPr>
          <w:lang w:val="fi-FI"/>
        </w:rPr>
        <w:tab/>
      </w:r>
      <w:r>
        <w:rPr>
          <w:lang w:val="fi-FI"/>
        </w:rPr>
        <w:t>Prekes, neatitinkančias Sutarties, įstatymų bei kitų teisės aktų (jei taikoma) reikalavimų, Tiekėjas privalo atsiimti savo sąskaita per Pirkėjo Defektų akte nustatytą terminą, taip pat Pirkėjo reikalavimu atlyginti tokių Prekių saugojimo išlaidas.</w:t>
      </w:r>
    </w:p>
    <w:p w14:paraId="000005E1">
      <w:pPr>
        <w:widowControl w:val="0"/>
        <w:tabs>
          <w:tab w:val="left" w:pos="567"/>
          <w:tab w:val="left" w:pos="851"/>
          <w:tab w:val="left" w:pos="992"/>
          <w:tab w:val="left" w:pos="1134"/>
        </w:tabs>
        <w:spacing w:line="259" w:lineRule="auto"/>
        <w:jc w:val="both"/>
        <w:rPr>
          <w:lang w:val="fi-FI"/>
        </w:rPr>
      </w:pPr>
      <w:r>
        <w:rPr>
          <w:lang w:val="fi-FI"/>
        </w:rPr>
        <w:t>6.2.6.</w:t>
      </w:r>
      <w:r>
        <w:rPr>
          <w:lang w:val="fi-FI"/>
        </w:rPr>
        <w:tab/>
      </w:r>
      <w:r>
        <w:rPr>
          <w:lang w:val="fi-FI"/>
        </w:rPr>
        <w:t xml:space="preserve">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 </w:t>
      </w:r>
    </w:p>
    <w:p w14:paraId="000005E2">
      <w:pPr>
        <w:widowControl w:val="0"/>
        <w:tabs>
          <w:tab w:val="left" w:pos="567"/>
          <w:tab w:val="left" w:pos="851"/>
          <w:tab w:val="left" w:pos="992"/>
          <w:tab w:val="left" w:pos="1134"/>
        </w:tabs>
        <w:spacing w:line="259" w:lineRule="auto"/>
        <w:jc w:val="both"/>
        <w:rPr>
          <w:lang w:val="fi-FI"/>
        </w:rPr>
      </w:pPr>
      <w:r>
        <w:rPr>
          <w:lang w:val="fi-FI"/>
        </w:rPr>
        <w:t>6.2.7.</w:t>
      </w:r>
      <w:r>
        <w:rPr>
          <w:lang w:val="fi-FI"/>
        </w:rPr>
        <w:tab/>
      </w:r>
      <w:r>
        <w:rPr>
          <w:lang w:val="fi-FI"/>
        </w:rPr>
        <w:t>Jeigu Pirkėjas per 5 (penkias) darbo dienas nepateikia (neišsiunčia) Tiekėjui  Defektų akto, laikoma, kad Pirkėjas Prekes priėmė ir joms pretenzijų neturi.</w:t>
      </w:r>
    </w:p>
    <w:p w14:paraId="000005E3">
      <w:pPr>
        <w:widowControl w:val="0"/>
        <w:tabs>
          <w:tab w:val="left" w:pos="567"/>
          <w:tab w:val="left" w:pos="709"/>
          <w:tab w:val="left" w:pos="851"/>
          <w:tab w:val="left" w:pos="992"/>
          <w:tab w:val="left" w:pos="1134"/>
        </w:tabs>
        <w:spacing w:line="259" w:lineRule="auto"/>
        <w:jc w:val="both"/>
        <w:rPr>
          <w:lang w:val="fi-FI"/>
        </w:rPr>
      </w:pPr>
      <w:r>
        <w:rPr>
          <w:lang w:val="fi-FI"/>
        </w:rPr>
        <w:t>6.2.8.</w:t>
      </w:r>
      <w:r>
        <w:rPr>
          <w:lang w:val="fi-FI"/>
        </w:rPr>
        <w:tab/>
      </w:r>
      <w:r>
        <w:rPr>
          <w:lang w:val="fi-FI"/>
        </w:rPr>
        <w:t>Prekių praradimo ar sugadinimo ar atsitiktinio žuvimo rizika Pirkėjui iš Tiekėjo pereina nuo faktinio Prekių priėmimo momento.</w:t>
      </w:r>
    </w:p>
    <w:p w14:paraId="000005E4">
      <w:pPr>
        <w:widowControl w:val="0"/>
        <w:tabs>
          <w:tab w:val="left" w:pos="567"/>
          <w:tab w:val="left" w:pos="709"/>
          <w:tab w:val="left" w:pos="851"/>
          <w:tab w:val="left" w:pos="992"/>
          <w:tab w:val="left" w:pos="1134"/>
        </w:tabs>
        <w:spacing w:line="259" w:lineRule="auto"/>
        <w:jc w:val="both"/>
        <w:rPr>
          <w:lang w:val="fi-FI"/>
        </w:rPr>
      </w:pPr>
      <w:r>
        <w:rPr>
          <w:lang w:val="fi-FI"/>
        </w:rPr>
        <w:t>6.2.9.</w:t>
      </w:r>
      <w:r>
        <w:rPr>
          <w:lang w:val="fi-FI"/>
        </w:rPr>
        <w:tab/>
      </w:r>
      <w:r>
        <w:rPr>
          <w:lang w:val="fi-FI"/>
        </w:rPr>
        <w:t xml:space="preserve">Pirkėjas turi teisę naudotis Prekėmis tik po Prekių perdavimo-priėmimo akto pasirašymo. </w:t>
      </w:r>
    </w:p>
    <w:p w14:paraId="000005E5">
      <w:pPr>
        <w:widowControl w:val="0"/>
        <w:tabs>
          <w:tab w:val="left" w:pos="567"/>
          <w:tab w:val="left" w:pos="851"/>
          <w:tab w:val="left" w:pos="992"/>
          <w:tab w:val="left" w:pos="1134"/>
        </w:tabs>
        <w:spacing w:line="259" w:lineRule="auto"/>
        <w:jc w:val="both"/>
        <w:rPr>
          <w:lang w:val="fi-FI"/>
        </w:rPr>
      </w:pPr>
      <w:r>
        <w:rPr>
          <w:lang w:val="fi-FI"/>
        </w:rPr>
        <w:t xml:space="preserve">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 </w:t>
      </w:r>
    </w:p>
    <w:p w14:paraId="000005E6">
      <w:pPr>
        <w:widowControl w:val="0"/>
        <w:tabs>
          <w:tab w:val="left" w:pos="567"/>
          <w:tab w:val="left" w:pos="851"/>
          <w:tab w:val="left" w:pos="992"/>
          <w:tab w:val="left" w:pos="1134"/>
        </w:tabs>
        <w:spacing w:line="259" w:lineRule="auto"/>
        <w:jc w:val="both"/>
        <w:rPr>
          <w:lang w:val="fi-FI"/>
        </w:rPr>
      </w:pPr>
    </w:p>
    <w:p w14:paraId="000005E7">
      <w:pPr>
        <w:keepNext/>
        <w:keepLines/>
        <w:widowControl w:val="0"/>
        <w:tabs>
          <w:tab w:val="left" w:pos="284"/>
          <w:tab w:val="left" w:pos="567"/>
          <w:tab w:val="left" w:pos="851"/>
          <w:tab w:val="left" w:pos="992"/>
          <w:tab w:val="left" w:pos="1134"/>
        </w:tabs>
        <w:spacing w:line="259" w:lineRule="auto"/>
        <w:jc w:val="center"/>
        <w:rPr>
          <w:b/>
          <w:smallCaps/>
          <w:lang w:val="fi-FI"/>
        </w:rPr>
      </w:pPr>
      <w:r>
        <w:rPr>
          <w:b/>
          <w:smallCaps/>
          <w:lang w:val="fi-FI"/>
        </w:rPr>
        <w:t>7.</w:t>
      </w:r>
      <w:r>
        <w:rPr>
          <w:b/>
          <w:smallCaps/>
          <w:lang w:val="fi-FI"/>
        </w:rPr>
        <w:tab/>
      </w:r>
      <w:r>
        <w:rPr>
          <w:b/>
          <w:smallCaps/>
          <w:lang w:val="fi-FI"/>
        </w:rPr>
        <w:t>TIEKĖJO GARANTINIAI ĮSIPAREIGOJIMAI</w:t>
      </w:r>
    </w:p>
    <w:p w14:paraId="000005E8">
      <w:pPr>
        <w:keepNext/>
        <w:keepLines/>
        <w:widowControl w:val="0"/>
        <w:tabs>
          <w:tab w:val="left" w:pos="284"/>
          <w:tab w:val="left" w:pos="567"/>
          <w:tab w:val="left" w:pos="851"/>
          <w:tab w:val="left" w:pos="992"/>
          <w:tab w:val="left" w:pos="1134"/>
        </w:tabs>
        <w:spacing w:line="259" w:lineRule="auto"/>
        <w:rPr>
          <w:b/>
          <w:smallCaps/>
          <w:lang w:val="fi-FI"/>
        </w:rPr>
      </w:pPr>
    </w:p>
    <w:p w14:paraId="000005E9">
      <w:pPr>
        <w:keepNext/>
        <w:keepLines/>
        <w:widowControl w:val="0"/>
        <w:tabs>
          <w:tab w:val="left" w:pos="567"/>
          <w:tab w:val="left" w:pos="851"/>
          <w:tab w:val="left" w:pos="992"/>
          <w:tab w:val="left" w:pos="1134"/>
        </w:tabs>
        <w:spacing w:line="259" w:lineRule="auto"/>
        <w:ind w:left="360" w:hanging="360"/>
        <w:jc w:val="center"/>
        <w:rPr>
          <w:b/>
          <w:lang w:val="fi-FI"/>
        </w:rPr>
      </w:pPr>
      <w:r>
        <w:rPr>
          <w:b/>
          <w:lang w:val="fi-FI"/>
        </w:rPr>
        <w:t>7.1.</w:t>
      </w:r>
      <w:r>
        <w:rPr>
          <w:b/>
          <w:lang w:val="fi-FI"/>
        </w:rPr>
        <w:tab/>
      </w:r>
      <w:r>
        <w:rPr>
          <w:b/>
          <w:lang w:val="fi-FI"/>
        </w:rPr>
        <w:t>Garantiniai terminai (jei taikoma)</w:t>
      </w:r>
    </w:p>
    <w:p w14:paraId="000005EA">
      <w:pPr>
        <w:keepNext/>
        <w:keepLines/>
        <w:widowControl w:val="0"/>
        <w:tabs>
          <w:tab w:val="left" w:pos="567"/>
          <w:tab w:val="left" w:pos="851"/>
          <w:tab w:val="left" w:pos="992"/>
          <w:tab w:val="left" w:pos="1134"/>
        </w:tabs>
        <w:spacing w:line="259" w:lineRule="auto"/>
        <w:ind w:left="360"/>
        <w:rPr>
          <w:b/>
          <w:lang w:val="fi-FI"/>
        </w:rPr>
      </w:pPr>
    </w:p>
    <w:p w14:paraId="000005EB">
      <w:pPr>
        <w:widowControl w:val="0"/>
        <w:tabs>
          <w:tab w:val="left" w:pos="567"/>
          <w:tab w:val="left" w:pos="709"/>
          <w:tab w:val="left" w:pos="851"/>
          <w:tab w:val="left" w:pos="992"/>
          <w:tab w:val="left" w:pos="1134"/>
        </w:tabs>
        <w:spacing w:line="259" w:lineRule="auto"/>
        <w:jc w:val="both"/>
        <w:rPr>
          <w:lang w:val="fi-FI"/>
        </w:rPr>
      </w:pPr>
      <w:r>
        <w:rPr>
          <w:lang w:val="fi-FI"/>
        </w:rPr>
        <w:t>7.1.1.</w:t>
      </w:r>
      <w:r>
        <w:rPr>
          <w:lang w:val="fi-FI"/>
        </w:rPr>
        <w:tab/>
      </w:r>
      <w:r>
        <w:rPr>
          <w:lang w:val="fi-FI"/>
        </w:rPr>
        <w:t>Prekėms taikomas teisės aktuose nustatytas ir (ar) gamintojo taikomas garantinis terminas, jeigu 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00005EC">
      <w:pPr>
        <w:widowControl w:val="0"/>
        <w:tabs>
          <w:tab w:val="left" w:pos="567"/>
          <w:tab w:val="left" w:pos="709"/>
          <w:tab w:val="left" w:pos="851"/>
          <w:tab w:val="left" w:pos="992"/>
          <w:tab w:val="left" w:pos="1134"/>
        </w:tabs>
        <w:spacing w:line="259" w:lineRule="auto"/>
        <w:jc w:val="both"/>
        <w:rPr>
          <w:lang w:val="fi-FI"/>
        </w:rPr>
      </w:pPr>
      <w:r>
        <w:rPr>
          <w:lang w:val="fi-FI"/>
        </w:rPr>
        <w:t>7.1.2.</w:t>
      </w:r>
      <w:r>
        <w:rPr>
          <w:lang w:val="fi-FI"/>
        </w:rPr>
        <w:tab/>
      </w:r>
      <w:r>
        <w:rPr>
          <w:lang w:val="fi-FI"/>
        </w:rPr>
        <w:t xml:space="preserve">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 </w:t>
      </w:r>
    </w:p>
    <w:p w14:paraId="000005ED">
      <w:pPr>
        <w:widowControl w:val="0"/>
        <w:tabs>
          <w:tab w:val="left" w:pos="567"/>
          <w:tab w:val="left" w:pos="709"/>
          <w:tab w:val="left" w:pos="851"/>
          <w:tab w:val="left" w:pos="992"/>
          <w:tab w:val="left" w:pos="1134"/>
        </w:tabs>
        <w:spacing w:line="259" w:lineRule="auto"/>
        <w:jc w:val="both"/>
        <w:rPr>
          <w:lang w:val="fi-FI"/>
        </w:rPr>
      </w:pPr>
      <w:r>
        <w:rPr>
          <w:lang w:val="fi-FI"/>
        </w:rPr>
        <w:t>7.1.3.</w:t>
      </w:r>
      <w:r>
        <w:rPr>
          <w:lang w:val="fi-FI"/>
        </w:rPr>
        <w:tab/>
      </w:r>
      <w:r>
        <w:rPr>
          <w:lang w:val="fi-FI"/>
        </w:rPr>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00005EE">
      <w:pPr>
        <w:widowControl w:val="0"/>
        <w:tabs>
          <w:tab w:val="left" w:pos="567"/>
          <w:tab w:val="left" w:pos="709"/>
          <w:tab w:val="left" w:pos="851"/>
          <w:tab w:val="left" w:pos="992"/>
          <w:tab w:val="left" w:pos="1134"/>
        </w:tabs>
        <w:spacing w:line="259" w:lineRule="auto"/>
        <w:jc w:val="both"/>
        <w:rPr>
          <w:lang w:val="fi-FI"/>
        </w:rPr>
      </w:pPr>
    </w:p>
    <w:p w14:paraId="000005EF">
      <w:pPr>
        <w:keepNext/>
        <w:keepLines/>
        <w:widowControl w:val="0"/>
        <w:tabs>
          <w:tab w:val="left" w:pos="567"/>
          <w:tab w:val="left" w:pos="851"/>
          <w:tab w:val="left" w:pos="992"/>
          <w:tab w:val="left" w:pos="1134"/>
        </w:tabs>
        <w:spacing w:line="259" w:lineRule="auto"/>
        <w:jc w:val="center"/>
        <w:rPr>
          <w:b/>
          <w:lang w:val="fi-FI"/>
        </w:rPr>
      </w:pPr>
      <w:r>
        <w:rPr>
          <w:b/>
          <w:lang w:val="fi-FI"/>
        </w:rPr>
        <w:t>7.2.</w:t>
      </w:r>
      <w:r>
        <w:rPr>
          <w:b/>
          <w:lang w:val="fi-FI"/>
        </w:rPr>
        <w:tab/>
      </w:r>
      <w:r>
        <w:rPr>
          <w:b/>
          <w:lang w:val="fi-FI"/>
        </w:rPr>
        <w:t>Pretenzijos dėl Prekių trūkumų</w:t>
      </w:r>
    </w:p>
    <w:p w14:paraId="000005F0">
      <w:pPr>
        <w:keepNext/>
        <w:keepLines/>
        <w:widowControl w:val="0"/>
        <w:tabs>
          <w:tab w:val="left" w:pos="567"/>
          <w:tab w:val="left" w:pos="851"/>
          <w:tab w:val="left" w:pos="992"/>
          <w:tab w:val="left" w:pos="1134"/>
        </w:tabs>
        <w:spacing w:line="259" w:lineRule="auto"/>
        <w:jc w:val="both"/>
        <w:rPr>
          <w:b/>
          <w:lang w:val="fi-FI"/>
        </w:rPr>
      </w:pPr>
    </w:p>
    <w:p w14:paraId="000005F1">
      <w:pPr>
        <w:widowControl w:val="0"/>
        <w:tabs>
          <w:tab w:val="left" w:pos="567"/>
          <w:tab w:val="left" w:pos="851"/>
          <w:tab w:val="left" w:pos="992"/>
          <w:tab w:val="left" w:pos="1134"/>
        </w:tabs>
        <w:spacing w:line="259" w:lineRule="auto"/>
        <w:jc w:val="both"/>
        <w:rPr>
          <w:lang w:val="fi-FI"/>
        </w:rPr>
      </w:pPr>
      <w:r>
        <w:rPr>
          <w:lang w:val="fi-FI"/>
        </w:rPr>
        <w:t>7.2.1.</w:t>
      </w:r>
      <w:r>
        <w:rPr>
          <w:lang w:val="fi-FI"/>
        </w:rPr>
        <w:tab/>
      </w:r>
      <w:r>
        <w:rPr>
          <w:lang w:val="fi-FI"/>
        </w:rPr>
        <w:t xml:space="preserve">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 </w:t>
      </w:r>
    </w:p>
    <w:p w14:paraId="000005F2">
      <w:pPr>
        <w:widowControl w:val="0"/>
        <w:tabs>
          <w:tab w:val="left" w:pos="567"/>
          <w:tab w:val="left" w:pos="851"/>
          <w:tab w:val="left" w:pos="992"/>
          <w:tab w:val="left" w:pos="1134"/>
        </w:tabs>
        <w:spacing w:line="259" w:lineRule="auto"/>
        <w:jc w:val="both"/>
        <w:rPr>
          <w:lang w:val="fi-FI"/>
        </w:rPr>
      </w:pPr>
      <w:r>
        <w:rPr>
          <w:lang w:val="fi-FI"/>
        </w:rPr>
        <w:t>7.2.2.</w:t>
      </w:r>
      <w:r>
        <w:rPr>
          <w:lang w:val="fi-FI"/>
        </w:rPr>
        <w:tab/>
      </w:r>
      <w:r>
        <w:rPr>
          <w:lang w:val="fi-FI"/>
        </w:rPr>
        <w:t xml:space="preserve">Tiekėjas privalo neatlygintinai pašalinti visus Prekių trūkumus, už kuriuos atsako Tiekėjas, per Pirkėjo pretenzijoje nustatytus protingus terminus, jeigu konkretūs terminai nėra nustatyti Specialiosiose sąlygose, kurie skaičiuojami nuo pretenzijos gavimo dienos. </w:t>
      </w:r>
    </w:p>
    <w:p w14:paraId="000005F3">
      <w:pPr>
        <w:tabs>
          <w:tab w:val="left" w:pos="567"/>
          <w:tab w:val="left" w:pos="851"/>
          <w:tab w:val="left" w:pos="992"/>
          <w:tab w:val="left" w:pos="1134"/>
        </w:tabs>
        <w:spacing w:line="259" w:lineRule="auto"/>
        <w:jc w:val="both"/>
        <w:rPr>
          <w:lang w:val="fi-FI"/>
        </w:rPr>
      </w:pPr>
      <w:r>
        <w:rPr>
          <w:lang w:val="fi-FI"/>
        </w:rPr>
        <w:t xml:space="preserve">7.2.3. Jei Tiekėjas nepripažįsta Prekių trūkumų, kiekviena iš Šalių gali kreiptis dėl nepriklausomos ekspertizės atlikimo. Jei Tiekėjas ilgiau nei 10 (dešimt) dienų nuo Pirkėjo kreipimosi neatsako /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prieš tai suderinęs su Tiekėju nepriklausomo eksperto kandidatūrą. Tokiu atveju ekspertizės išlaidas padengia: </w:t>
      </w:r>
    </w:p>
    <w:p w14:paraId="000005F4">
      <w:pPr>
        <w:tabs>
          <w:tab w:val="left" w:pos="567"/>
          <w:tab w:val="left" w:pos="851"/>
          <w:tab w:val="left" w:pos="992"/>
          <w:tab w:val="left" w:pos="1134"/>
        </w:tabs>
        <w:spacing w:line="259" w:lineRule="auto"/>
        <w:jc w:val="both"/>
        <w:rPr>
          <w:lang w:val="fi-FI"/>
        </w:rPr>
      </w:pPr>
      <w:r>
        <w:rPr>
          <w:lang w:val="fi-FI"/>
        </w:rPr>
        <w:t>7.2.3.1. jei Prekės atitinka Sutartyje nurodytus reikalavimus – Pirkėjas;</w:t>
      </w:r>
    </w:p>
    <w:p w14:paraId="000005F5">
      <w:pPr>
        <w:tabs>
          <w:tab w:val="left" w:pos="567"/>
          <w:tab w:val="left" w:pos="851"/>
          <w:tab w:val="left" w:pos="992"/>
          <w:tab w:val="left" w:pos="1134"/>
        </w:tabs>
        <w:spacing w:line="259" w:lineRule="auto"/>
        <w:jc w:val="both"/>
        <w:rPr>
          <w:lang w:val="fi-FI"/>
        </w:rPr>
      </w:pPr>
      <w:r>
        <w:rPr>
          <w:lang w:val="fi-FI"/>
        </w:rPr>
        <w:t>7.2.3.2. jei Prekės neatitinka Sutartyje nurodytų reikalavimų – Tiekėjas.</w:t>
      </w:r>
    </w:p>
    <w:p w14:paraId="000005F6">
      <w:pPr>
        <w:tabs>
          <w:tab w:val="left" w:pos="567"/>
          <w:tab w:val="left" w:pos="851"/>
          <w:tab w:val="left" w:pos="992"/>
          <w:tab w:val="left" w:pos="1134"/>
        </w:tabs>
        <w:spacing w:line="259" w:lineRule="auto"/>
        <w:jc w:val="both"/>
        <w:rPr>
          <w:lang w:val="fi-FI"/>
        </w:rPr>
      </w:pPr>
    </w:p>
    <w:p w14:paraId="000005F7">
      <w:pPr>
        <w:keepNext/>
        <w:keepLines/>
        <w:widowControl w:val="0"/>
        <w:tabs>
          <w:tab w:val="left" w:pos="567"/>
          <w:tab w:val="left" w:pos="851"/>
          <w:tab w:val="left" w:pos="992"/>
          <w:tab w:val="left" w:pos="1134"/>
        </w:tabs>
        <w:spacing w:line="259" w:lineRule="auto"/>
        <w:jc w:val="center"/>
        <w:rPr>
          <w:b/>
          <w:lang w:val="fi-FI"/>
        </w:rPr>
      </w:pPr>
      <w:r>
        <w:rPr>
          <w:b/>
          <w:lang w:val="fi-FI"/>
        </w:rPr>
        <w:t>7.3.</w:t>
      </w:r>
      <w:r>
        <w:rPr>
          <w:b/>
          <w:lang w:val="fi-FI"/>
        </w:rPr>
        <w:tab/>
      </w:r>
      <w:r>
        <w:rPr>
          <w:b/>
          <w:lang w:val="fi-FI"/>
        </w:rPr>
        <w:t>Prekių trūkumų šalinimas</w:t>
      </w:r>
    </w:p>
    <w:p w14:paraId="000005F8">
      <w:pPr>
        <w:keepNext/>
        <w:keepLines/>
        <w:widowControl w:val="0"/>
        <w:tabs>
          <w:tab w:val="left" w:pos="567"/>
          <w:tab w:val="left" w:pos="851"/>
          <w:tab w:val="left" w:pos="992"/>
          <w:tab w:val="left" w:pos="1134"/>
        </w:tabs>
        <w:spacing w:line="259" w:lineRule="auto"/>
        <w:jc w:val="both"/>
        <w:rPr>
          <w:b/>
          <w:lang w:val="fi-FI"/>
        </w:rPr>
      </w:pPr>
    </w:p>
    <w:p w14:paraId="000005F9">
      <w:pPr>
        <w:widowControl w:val="0"/>
        <w:tabs>
          <w:tab w:val="left" w:pos="567"/>
          <w:tab w:val="left" w:pos="851"/>
          <w:tab w:val="left" w:pos="992"/>
          <w:tab w:val="left" w:pos="1134"/>
        </w:tabs>
        <w:spacing w:line="259" w:lineRule="auto"/>
        <w:jc w:val="both"/>
        <w:rPr>
          <w:lang w:val="fi-FI"/>
        </w:rPr>
      </w:pPr>
      <w:r>
        <w:rPr>
          <w:lang w:val="fi-FI"/>
        </w:rPr>
        <w:t>7.3.1.</w:t>
      </w:r>
      <w:r>
        <w:rPr>
          <w:lang w:val="fi-FI"/>
        </w:rPr>
        <w:tab/>
      </w:r>
      <w:r>
        <w:rPr>
          <w:lang w:val="fi-FI"/>
        </w:rPr>
        <w:t xml:space="preserve">Tiekėjas privalo pašalinti Prekių trūkumus, sutaisydamas Prekes ar jų dalį arba pakeisdamas Prekę nauja Preke ar jos dalimi. </w:t>
      </w:r>
    </w:p>
    <w:p w14:paraId="000005FA">
      <w:pPr>
        <w:widowControl w:val="0"/>
        <w:tabs>
          <w:tab w:val="left" w:pos="567"/>
          <w:tab w:val="left" w:pos="851"/>
          <w:tab w:val="left" w:pos="992"/>
          <w:tab w:val="left" w:pos="1134"/>
        </w:tabs>
        <w:spacing w:line="259" w:lineRule="auto"/>
        <w:jc w:val="both"/>
        <w:rPr>
          <w:lang w:val="fi-FI"/>
        </w:rPr>
      </w:pPr>
      <w:r>
        <w:rPr>
          <w:lang w:val="fi-FI"/>
        </w:rPr>
        <w:t>7.3.2.</w:t>
      </w:r>
      <w:r>
        <w:rPr>
          <w:lang w:val="fi-FI"/>
        </w:rPr>
        <w:tab/>
      </w:r>
      <w:r>
        <w:rPr>
          <w:lang w:val="fi-FI"/>
        </w:rPr>
        <w:t xml:space="preserve">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 </w:t>
      </w:r>
    </w:p>
    <w:p w14:paraId="000005FB">
      <w:pPr>
        <w:widowControl w:val="0"/>
        <w:tabs>
          <w:tab w:val="left" w:pos="567"/>
          <w:tab w:val="left" w:pos="851"/>
          <w:tab w:val="left" w:pos="992"/>
          <w:tab w:val="left" w:pos="1134"/>
        </w:tabs>
        <w:spacing w:line="259" w:lineRule="auto"/>
        <w:jc w:val="both"/>
        <w:rPr>
          <w:lang w:val="fi-FI"/>
        </w:rPr>
      </w:pPr>
      <w:r>
        <w:rPr>
          <w:lang w:val="fi-FI"/>
        </w:rPr>
        <w:t>7.3.3.</w:t>
      </w:r>
      <w:r>
        <w:rPr>
          <w:lang w:val="fi-FI"/>
        </w:rPr>
        <w:tab/>
      </w:r>
      <w:r>
        <w:rPr>
          <w:lang w:val="fi-FI"/>
        </w:rPr>
        <w:t>Sutaisytoje Prekių dalyje pakartotinai nustačius Prekių trūkumų, Tiekėjas privalo pakeisti Prekes naujomis kokybiškomis Prekėmis, nebent Pirkėjas raštu sutiktų Prekes dar kartą taisyti.</w:t>
      </w:r>
    </w:p>
    <w:p w14:paraId="000005FC">
      <w:pPr>
        <w:widowControl w:val="0"/>
        <w:tabs>
          <w:tab w:val="left" w:pos="567"/>
          <w:tab w:val="left" w:pos="851"/>
          <w:tab w:val="left" w:pos="992"/>
          <w:tab w:val="left" w:pos="1134"/>
        </w:tabs>
        <w:spacing w:line="259" w:lineRule="auto"/>
        <w:jc w:val="both"/>
        <w:rPr>
          <w:lang w:val="fi-FI"/>
        </w:rPr>
      </w:pPr>
      <w:r>
        <w:rPr>
          <w:lang w:val="fi-FI"/>
        </w:rPr>
        <w:t>7.3.4.</w:t>
      </w:r>
      <w:r>
        <w:rPr>
          <w:lang w:val="fi-FI"/>
        </w:rPr>
        <w:tab/>
      </w:r>
      <w:r>
        <w:rPr>
          <w:lang w:val="fi-FI"/>
        </w:rPr>
        <w:t>Pašalinus Prekių trūkumus, garantinis terminas sutaisytajai Prekių daliai ar naujoms Prekėms vėl pradedamas skaičiuoti nuo tinkamai sutaisytų ar pakeistų Prekių (ar jų dalių) perdavimo Pirkėjui dienos.</w:t>
      </w:r>
    </w:p>
    <w:p w14:paraId="000005FD">
      <w:pPr>
        <w:widowControl w:val="0"/>
        <w:tabs>
          <w:tab w:val="left" w:pos="567"/>
          <w:tab w:val="left" w:pos="851"/>
          <w:tab w:val="left" w:pos="992"/>
          <w:tab w:val="left" w:pos="1134"/>
        </w:tabs>
        <w:spacing w:line="259" w:lineRule="auto"/>
        <w:jc w:val="both"/>
        <w:rPr>
          <w:lang w:val="fi-FI"/>
        </w:rPr>
      </w:pPr>
      <w:r>
        <w:rPr>
          <w:lang w:val="fi-FI"/>
        </w:rPr>
        <w:t>7.3.5.</w:t>
      </w:r>
      <w:r>
        <w:rPr>
          <w:lang w:val="fi-FI"/>
        </w:rPr>
        <w:tab/>
      </w:r>
      <w:r>
        <w:rPr>
          <w:lang w:val="fi-FI"/>
        </w:rPr>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00005FE">
      <w:pPr>
        <w:widowControl w:val="0"/>
        <w:tabs>
          <w:tab w:val="left" w:pos="567"/>
          <w:tab w:val="left" w:pos="851"/>
          <w:tab w:val="left" w:pos="992"/>
          <w:tab w:val="left" w:pos="1134"/>
        </w:tabs>
        <w:spacing w:line="259" w:lineRule="auto"/>
        <w:jc w:val="both"/>
        <w:rPr>
          <w:lang w:val="fi-FI"/>
        </w:rPr>
      </w:pPr>
      <w:r>
        <w:rPr>
          <w:lang w:val="fi-FI"/>
        </w:rPr>
        <w:t>7.3.6.</w:t>
      </w:r>
      <w:r>
        <w:rPr>
          <w:lang w:val="fi-FI"/>
        </w:rPr>
        <w:tab/>
      </w:r>
      <w:r>
        <w:rPr>
          <w:lang w:val="fi-FI"/>
        </w:rPr>
        <w:t>Tiekėjas, pašalinęs visus Prekių trūkumus, privalo apie tai informuoti Pirkėją.</w:t>
      </w:r>
    </w:p>
    <w:p w14:paraId="000005FF">
      <w:pPr>
        <w:widowControl w:val="0"/>
        <w:tabs>
          <w:tab w:val="left" w:pos="567"/>
          <w:tab w:val="left" w:pos="851"/>
          <w:tab w:val="left" w:pos="992"/>
          <w:tab w:val="left" w:pos="1134"/>
        </w:tabs>
        <w:spacing w:line="259" w:lineRule="auto"/>
        <w:jc w:val="both"/>
        <w:rPr>
          <w:lang w:val="fi-FI"/>
        </w:rPr>
      </w:pPr>
      <w:r>
        <w:rPr>
          <w:lang w:val="fi-FI"/>
        </w:rPr>
        <w:t>7.3.7.</w:t>
      </w:r>
      <w:r>
        <w:rPr>
          <w:lang w:val="fi-FI"/>
        </w:rPr>
        <w:tab/>
      </w:r>
      <w:r>
        <w:rPr>
          <w:lang w:val="fi-FI"/>
        </w:rPr>
        <w:t>Pirkėjas per 5 (penkias) darbo dienas po Tiekėjo pranešimo apie Prekių trūkumų pašalinimą gavimo privalo patikrinti trūkumus, nurodytus Defektų akte arba Pirkėjo pretenzijoje, ir raštu patvirtinti, kurie Prekių trūkumai buvo pašalinti.</w:t>
      </w:r>
    </w:p>
    <w:p w14:paraId="00000600">
      <w:pPr>
        <w:widowControl w:val="0"/>
        <w:tabs>
          <w:tab w:val="left" w:pos="567"/>
          <w:tab w:val="left" w:pos="851"/>
          <w:tab w:val="left" w:pos="992"/>
          <w:tab w:val="left" w:pos="1134"/>
        </w:tabs>
        <w:spacing w:line="259" w:lineRule="auto"/>
        <w:jc w:val="both"/>
        <w:rPr>
          <w:lang w:val="fi-FI"/>
        </w:rPr>
      </w:pPr>
    </w:p>
    <w:p w14:paraId="00000601">
      <w:pPr>
        <w:keepNext/>
        <w:keepLines/>
        <w:widowControl w:val="0"/>
        <w:tabs>
          <w:tab w:val="left" w:pos="567"/>
          <w:tab w:val="left" w:pos="851"/>
          <w:tab w:val="left" w:pos="992"/>
          <w:tab w:val="left" w:pos="1134"/>
        </w:tabs>
        <w:spacing w:line="259" w:lineRule="auto"/>
        <w:jc w:val="center"/>
        <w:rPr>
          <w:b/>
          <w:lang w:val="fi-FI"/>
        </w:rPr>
      </w:pPr>
      <w:r>
        <w:rPr>
          <w:b/>
          <w:lang w:val="fi-FI"/>
        </w:rPr>
        <w:t>7.4.</w:t>
      </w:r>
      <w:r>
        <w:rPr>
          <w:b/>
          <w:lang w:val="fi-FI"/>
        </w:rPr>
        <w:tab/>
      </w:r>
      <w:r>
        <w:rPr>
          <w:b/>
          <w:lang w:val="fi-FI"/>
        </w:rPr>
        <w:t>Pirkėjo teisės, Tiekėjui nepašalinus Prekių trūkumų</w:t>
      </w:r>
    </w:p>
    <w:p w14:paraId="00000602">
      <w:pPr>
        <w:keepNext/>
        <w:keepLines/>
        <w:widowControl w:val="0"/>
        <w:tabs>
          <w:tab w:val="left" w:pos="567"/>
          <w:tab w:val="left" w:pos="851"/>
          <w:tab w:val="left" w:pos="992"/>
          <w:tab w:val="left" w:pos="1134"/>
        </w:tabs>
        <w:spacing w:line="259" w:lineRule="auto"/>
        <w:jc w:val="both"/>
        <w:rPr>
          <w:b/>
          <w:lang w:val="fi-FI"/>
        </w:rPr>
      </w:pPr>
    </w:p>
    <w:p w14:paraId="00000603">
      <w:pPr>
        <w:widowControl w:val="0"/>
        <w:tabs>
          <w:tab w:val="left" w:pos="567"/>
          <w:tab w:val="left" w:pos="851"/>
          <w:tab w:val="left" w:pos="992"/>
          <w:tab w:val="left" w:pos="1134"/>
        </w:tabs>
        <w:spacing w:line="259" w:lineRule="auto"/>
        <w:jc w:val="both"/>
        <w:rPr>
          <w:lang w:val="fi-FI"/>
        </w:rPr>
      </w:pPr>
      <w:r>
        <w:rPr>
          <w:lang w:val="fi-FI"/>
        </w:rPr>
        <w:t>7.4.1.</w:t>
      </w:r>
      <w:r>
        <w:rPr>
          <w:lang w:val="fi-FI"/>
        </w:rPr>
        <w:tab/>
      </w:r>
      <w:r>
        <w:rPr>
          <w:lang w:val="fi-FI"/>
        </w:rPr>
        <w:t>Jeigu Tiekėjas atsisako pašalinti arba nepašalina Prekių trūkumų per Pirkėjo nustatytus protingus terminus, Pirkėjas turi teisę:</w:t>
      </w:r>
    </w:p>
    <w:p w14:paraId="00000604">
      <w:pPr>
        <w:widowControl w:val="0"/>
        <w:tabs>
          <w:tab w:val="left" w:pos="567"/>
          <w:tab w:val="left" w:pos="851"/>
          <w:tab w:val="left" w:pos="992"/>
          <w:tab w:val="left" w:pos="1134"/>
        </w:tabs>
        <w:spacing w:line="259" w:lineRule="auto"/>
        <w:jc w:val="both"/>
        <w:rPr>
          <w:lang w:val="fi-FI"/>
        </w:rPr>
      </w:pPr>
      <w:r>
        <w:rPr>
          <w:lang w:val="fi-FI"/>
        </w:rPr>
        <w:t>7.4.1.1.</w:t>
      </w:r>
      <w:r>
        <w:rPr>
          <w:lang w:val="fi-FI"/>
        </w:rPr>
        <w:tab/>
      </w:r>
      <w:r>
        <w:rPr>
          <w:lang w:val="fi-FI"/>
        </w:rPr>
        <w:t>pašalinti Prekių trūkumus pats arba pasamdydamas trečiuosius asmenis, iš anksto apie tai informuodamas Tiekėją, ir pareikalauti Tiekėjo atlyginti Prekių ekspertizės bei Prekių trūkumų šalinimo išlaidas ir padengti patirtus nuostolius; arba</w:t>
      </w:r>
    </w:p>
    <w:p w14:paraId="00000605">
      <w:pPr>
        <w:widowControl w:val="0"/>
        <w:tabs>
          <w:tab w:val="left" w:pos="567"/>
          <w:tab w:val="left" w:pos="851"/>
          <w:tab w:val="left" w:pos="992"/>
          <w:tab w:val="left" w:pos="1134"/>
        </w:tabs>
        <w:spacing w:line="259" w:lineRule="auto"/>
        <w:jc w:val="both"/>
        <w:rPr>
          <w:lang w:val="fi-FI"/>
        </w:rPr>
      </w:pPr>
      <w:r>
        <w:rPr>
          <w:lang w:val="fi-FI"/>
        </w:rPr>
        <w:t>7.4.1.2.</w:t>
      </w:r>
      <w:r>
        <w:rPr>
          <w:lang w:val="fi-FI"/>
        </w:rPr>
        <w:tab/>
      </w:r>
      <w:r>
        <w:rPr>
          <w:lang w:val="fi-FI"/>
        </w:rPr>
        <w:t>reikalauti sumažinti Tiekėjui mokėtiną sumą ir grąžinti dėl šios sumos sumažinimo susidariusią permoką per 30 (trisdešimt) dienų nuo Tiekėjui nustatyto termino pašalinti Prekių trūkumus pabaigos; arba</w:t>
      </w:r>
    </w:p>
    <w:p w14:paraId="00000606">
      <w:pPr>
        <w:widowControl w:val="0"/>
        <w:tabs>
          <w:tab w:val="left" w:pos="567"/>
          <w:tab w:val="left" w:pos="851"/>
          <w:tab w:val="left" w:pos="992"/>
          <w:tab w:val="left" w:pos="1134"/>
        </w:tabs>
        <w:spacing w:line="259" w:lineRule="auto"/>
        <w:jc w:val="both"/>
        <w:rPr>
          <w:lang w:val="fi-FI"/>
        </w:rPr>
      </w:pPr>
      <w:r>
        <w:rPr>
          <w:lang w:val="fi-FI"/>
        </w:rPr>
        <w:t>7.4.1.3. grąžinti Prekes Tiekėjui ir nemokėti už tokias Prekes ar reikalauti grąžinti už Prekes sumokėtą sumą bei nutraukti Sutartį.</w:t>
      </w:r>
    </w:p>
    <w:p w14:paraId="00000607">
      <w:pPr>
        <w:widowControl w:val="0"/>
        <w:tabs>
          <w:tab w:val="left" w:pos="567"/>
          <w:tab w:val="left" w:pos="851"/>
          <w:tab w:val="left" w:pos="992"/>
          <w:tab w:val="left" w:pos="1134"/>
        </w:tabs>
        <w:spacing w:line="259" w:lineRule="auto"/>
        <w:jc w:val="both"/>
        <w:rPr>
          <w:lang w:val="fi-FI"/>
        </w:rPr>
      </w:pPr>
      <w:r>
        <w:rPr>
          <w:lang w:val="fi-FI"/>
        </w:rPr>
        <w:t>7.4.2.</w:t>
      </w:r>
      <w:r>
        <w:rPr>
          <w:lang w:val="fi-FI"/>
        </w:rPr>
        <w:tab/>
      </w:r>
      <w:r>
        <w:rPr>
          <w:lang w:val="fi-FI"/>
        </w:rPr>
        <w:t>Tiekėjui pagal Sutartį mokėtina suma sumažinama tiek, kiek sumažėja Prekių vertė Pirkėjui dėl Prekių trūkumų. Į Prekių vertės sumažėjimą, be kita ko, įskaičiuojamos Pirkėjo išlaidos Prekių trūkumų įvertinimui ir šalinimui, Prekių vertės sumažėjimas, Pirkėjo esamų ar būsimų išlaidų Prekių eksploatavimui padidėjimas (jeigu tokios išlaidos buvo vertinamos pirkimo metu).</w:t>
      </w:r>
    </w:p>
    <w:p w14:paraId="00000608">
      <w:pPr>
        <w:widowControl w:val="0"/>
        <w:tabs>
          <w:tab w:val="left" w:pos="567"/>
          <w:tab w:val="left" w:pos="851"/>
          <w:tab w:val="left" w:pos="992"/>
          <w:tab w:val="left" w:pos="1134"/>
        </w:tabs>
        <w:spacing w:line="259" w:lineRule="auto"/>
        <w:jc w:val="both"/>
        <w:rPr>
          <w:lang w:val="fi-FI"/>
        </w:rPr>
      </w:pPr>
      <w:r>
        <w:rPr>
          <w:lang w:val="fi-FI"/>
        </w:rPr>
        <w:t>7.4.3.</w:t>
      </w:r>
      <w:r>
        <w:rPr>
          <w:lang w:val="fi-FI"/>
        </w:rPr>
        <w:tab/>
      </w:r>
      <w:r>
        <w:rPr>
          <w:lang w:val="fi-FI"/>
        </w:rPr>
        <w:t xml:space="preserve">Tiekėjas privalo patenkinti Pirkėjo pagal Bendrųjų sąlygų 7.4.4 punktą pareikštą piniginį reikalavimą per 30 (trisdešimt) dienų arba per ilgesnį Pirkėjo reikalavime nurodytą protingą terminą. </w:t>
      </w:r>
    </w:p>
    <w:p w14:paraId="00000609">
      <w:pPr>
        <w:widowControl w:val="0"/>
        <w:tabs>
          <w:tab w:val="left" w:pos="567"/>
          <w:tab w:val="left" w:pos="851"/>
          <w:tab w:val="left" w:pos="992"/>
          <w:tab w:val="left" w:pos="1134"/>
        </w:tabs>
        <w:spacing w:line="259" w:lineRule="auto"/>
        <w:jc w:val="both"/>
        <w:rPr>
          <w:lang w:val="fi-FI"/>
        </w:rPr>
      </w:pPr>
      <w:r>
        <w:rPr>
          <w:lang w:val="fi-FI"/>
        </w:rPr>
        <w:t>7.4.4.</w:t>
      </w:r>
      <w:r>
        <w:rPr>
          <w:lang w:val="fi-FI"/>
        </w:rPr>
        <w:tab/>
      </w:r>
      <w:r>
        <w:rPr>
          <w:lang w:val="fi-FI"/>
        </w:rPr>
        <w:t>Už vėlavimą pašalinti Prekių trūkumus Pirkėjas privalo reikalauti Tiekėjo sumokėti Specialiosiose sąlygose nustatyto dydžio netesybas.</w:t>
      </w:r>
    </w:p>
    <w:p w14:paraId="0000060A">
      <w:pPr>
        <w:widowControl w:val="0"/>
        <w:tabs>
          <w:tab w:val="left" w:pos="567"/>
          <w:tab w:val="left" w:pos="851"/>
          <w:tab w:val="left" w:pos="992"/>
          <w:tab w:val="left" w:pos="1134"/>
        </w:tabs>
        <w:spacing w:line="259" w:lineRule="auto"/>
        <w:jc w:val="both"/>
        <w:rPr>
          <w:lang w:val="fi-FI"/>
        </w:rPr>
      </w:pPr>
    </w:p>
    <w:p w14:paraId="0000060B">
      <w:pPr>
        <w:keepNext/>
        <w:keepLines/>
        <w:widowControl w:val="0"/>
        <w:tabs>
          <w:tab w:val="left" w:pos="284"/>
          <w:tab w:val="left" w:pos="567"/>
          <w:tab w:val="left" w:pos="851"/>
          <w:tab w:val="left" w:pos="992"/>
          <w:tab w:val="left" w:pos="1134"/>
        </w:tabs>
        <w:spacing w:line="259" w:lineRule="auto"/>
        <w:jc w:val="center"/>
        <w:rPr>
          <w:b/>
          <w:smallCaps/>
          <w:lang w:val="fi-FI"/>
        </w:rPr>
      </w:pPr>
      <w:r>
        <w:rPr>
          <w:b/>
          <w:smallCaps/>
          <w:lang w:val="fi-FI"/>
        </w:rPr>
        <w:t>8.</w:t>
      </w:r>
      <w:r>
        <w:rPr>
          <w:b/>
          <w:smallCaps/>
          <w:lang w:val="fi-FI"/>
        </w:rPr>
        <w:tab/>
      </w:r>
      <w:r>
        <w:rPr>
          <w:b/>
          <w:smallCaps/>
          <w:lang w:val="fi-FI"/>
        </w:rPr>
        <w:t>PRISTATYMO TERMINAI</w:t>
      </w:r>
    </w:p>
    <w:p w14:paraId="0000060C">
      <w:pPr>
        <w:keepNext/>
        <w:keepLines/>
        <w:widowControl w:val="0"/>
        <w:tabs>
          <w:tab w:val="left" w:pos="284"/>
          <w:tab w:val="left" w:pos="567"/>
          <w:tab w:val="left" w:pos="851"/>
          <w:tab w:val="left" w:pos="992"/>
          <w:tab w:val="left" w:pos="1134"/>
        </w:tabs>
        <w:spacing w:line="259" w:lineRule="auto"/>
        <w:rPr>
          <w:b/>
          <w:smallCaps/>
          <w:lang w:val="fi-FI"/>
        </w:rPr>
      </w:pPr>
    </w:p>
    <w:p w14:paraId="0000060D">
      <w:pPr>
        <w:keepNext/>
        <w:keepLines/>
        <w:widowControl w:val="0"/>
        <w:tabs>
          <w:tab w:val="left" w:pos="567"/>
          <w:tab w:val="left" w:pos="851"/>
          <w:tab w:val="left" w:pos="992"/>
          <w:tab w:val="left" w:pos="1134"/>
        </w:tabs>
        <w:spacing w:line="259" w:lineRule="auto"/>
        <w:jc w:val="center"/>
        <w:rPr>
          <w:b/>
          <w:lang w:val="fi-FI"/>
        </w:rPr>
      </w:pPr>
      <w:r>
        <w:rPr>
          <w:b/>
          <w:lang w:val="fi-FI"/>
        </w:rPr>
        <w:t>8.1.</w:t>
      </w:r>
      <w:r>
        <w:rPr>
          <w:b/>
          <w:lang w:val="fi-FI"/>
        </w:rPr>
        <w:tab/>
      </w:r>
      <w:r>
        <w:rPr>
          <w:b/>
          <w:lang w:val="fi-FI"/>
        </w:rPr>
        <w:t>Pristatymo terminai ir Prekių tiekimo grafikas</w:t>
      </w:r>
    </w:p>
    <w:p w14:paraId="0000060E">
      <w:pPr>
        <w:keepNext/>
        <w:keepLines/>
        <w:widowControl w:val="0"/>
        <w:tabs>
          <w:tab w:val="left" w:pos="567"/>
          <w:tab w:val="left" w:pos="851"/>
          <w:tab w:val="left" w:pos="992"/>
          <w:tab w:val="left" w:pos="1134"/>
        </w:tabs>
        <w:spacing w:line="259" w:lineRule="auto"/>
        <w:jc w:val="both"/>
        <w:rPr>
          <w:b/>
          <w:lang w:val="fi-FI"/>
        </w:rPr>
      </w:pPr>
    </w:p>
    <w:p w14:paraId="0000060F">
      <w:pPr>
        <w:widowControl w:val="0"/>
        <w:tabs>
          <w:tab w:val="left" w:pos="567"/>
          <w:tab w:val="left" w:pos="851"/>
          <w:tab w:val="left" w:pos="992"/>
          <w:tab w:val="left" w:pos="1134"/>
        </w:tabs>
        <w:spacing w:line="259" w:lineRule="auto"/>
        <w:jc w:val="both"/>
        <w:rPr>
          <w:lang w:val="fi-FI"/>
        </w:rPr>
      </w:pPr>
      <w:r>
        <w:rPr>
          <w:lang w:val="fi-FI"/>
        </w:rPr>
        <w:t>8.1.1.</w:t>
      </w:r>
      <w:r>
        <w:rPr>
          <w:lang w:val="fi-FI"/>
        </w:rPr>
        <w:tab/>
      </w:r>
      <w:r>
        <w:rPr>
          <w:lang w:val="fi-FI"/>
        </w:rPr>
        <w:t xml:space="preserve">Tiekėjas privalo pristatyti Prekes laikydamasis terminų, nurodytų Specialiosiose sąlygose. </w:t>
      </w:r>
    </w:p>
    <w:p w14:paraId="00000610">
      <w:pPr>
        <w:widowControl w:val="0"/>
        <w:tabs>
          <w:tab w:val="left" w:pos="567"/>
          <w:tab w:val="left" w:pos="851"/>
          <w:tab w:val="left" w:pos="992"/>
          <w:tab w:val="left" w:pos="1134"/>
        </w:tabs>
        <w:spacing w:line="259" w:lineRule="auto"/>
        <w:jc w:val="both"/>
        <w:rPr>
          <w:lang w:val="fi-FI"/>
        </w:rPr>
      </w:pPr>
      <w:r>
        <w:rPr>
          <w:lang w:val="fi-FI"/>
        </w:rPr>
        <w:t>8.1.2.</w:t>
      </w:r>
      <w:r>
        <w:rPr>
          <w:lang w:val="fi-FI"/>
        </w:rPr>
        <w:tab/>
      </w:r>
      <w:r>
        <w:rPr>
          <w:lang w:val="fi-FI"/>
        </w:rPr>
        <w:t xml:space="preserve">Jei taikytina, Pirkėjas privalo ne vėliau kaip per 14 (keturiolika) darbo dienų nuo Sutarties įsigaliojimo arba per kitą pirkimo dokumentuose nurodytą terminą parengti ir pateikti Tiekėjui suderinimui Prekių tiekimo grafiką (toliau – </w:t>
      </w:r>
      <w:r>
        <w:rPr>
          <w:b/>
          <w:lang w:val="fi-FI"/>
        </w:rPr>
        <w:t>Grafikas</w:t>
      </w:r>
      <w:r>
        <w:rPr>
          <w:lang w:val="fi-FI"/>
        </w:rPr>
        <w:t>).</w:t>
      </w:r>
    </w:p>
    <w:p w14:paraId="00000611">
      <w:pPr>
        <w:widowControl w:val="0"/>
        <w:tabs>
          <w:tab w:val="left" w:pos="567"/>
          <w:tab w:val="left" w:pos="851"/>
          <w:tab w:val="left" w:pos="992"/>
          <w:tab w:val="left" w:pos="1134"/>
        </w:tabs>
        <w:spacing w:line="259" w:lineRule="auto"/>
        <w:jc w:val="both"/>
        <w:rPr>
          <w:lang w:val="fi-FI"/>
        </w:rPr>
      </w:pPr>
      <w:r>
        <w:rPr>
          <w:lang w:val="fi-FI"/>
        </w:rPr>
        <w:t>8.1.3.</w:t>
      </w:r>
      <w:r>
        <w:rPr>
          <w:lang w:val="fi-FI"/>
        </w:rPr>
        <w:tab/>
      </w:r>
      <w:r>
        <w:rPr>
          <w:lang w:val="fi-FI"/>
        </w:rPr>
        <w:t>Jei aktualu, Grafike turi būti pažymėta, kurios Prekės gali būti pristatomos lygiagrečiai, o kurios gali būti pristatomos tik numatytu eiliškumu.</w:t>
      </w:r>
    </w:p>
    <w:p w14:paraId="00000612">
      <w:pPr>
        <w:widowControl w:val="0"/>
        <w:tabs>
          <w:tab w:val="left" w:pos="567"/>
          <w:tab w:val="left" w:pos="851"/>
          <w:tab w:val="left" w:pos="992"/>
          <w:tab w:val="left" w:pos="1134"/>
        </w:tabs>
        <w:spacing w:line="259" w:lineRule="auto"/>
        <w:jc w:val="both"/>
        <w:rPr>
          <w:lang w:val="fi-FI"/>
        </w:rPr>
      </w:pPr>
    </w:p>
    <w:p w14:paraId="00000613">
      <w:pPr>
        <w:keepNext/>
        <w:keepLines/>
        <w:widowControl w:val="0"/>
        <w:tabs>
          <w:tab w:val="left" w:pos="567"/>
          <w:tab w:val="left" w:pos="851"/>
          <w:tab w:val="left" w:pos="992"/>
          <w:tab w:val="left" w:pos="1134"/>
        </w:tabs>
        <w:spacing w:line="259" w:lineRule="auto"/>
        <w:jc w:val="center"/>
        <w:rPr>
          <w:b/>
          <w:lang w:val="fi-FI"/>
        </w:rPr>
      </w:pPr>
      <w:r>
        <w:rPr>
          <w:b/>
          <w:lang w:val="fi-FI"/>
        </w:rPr>
        <w:t>8.2.</w:t>
      </w:r>
      <w:r>
        <w:rPr>
          <w:b/>
          <w:lang w:val="fi-FI"/>
        </w:rPr>
        <w:tab/>
      </w:r>
      <w:r>
        <w:rPr>
          <w:b/>
          <w:lang w:val="fi-FI"/>
        </w:rPr>
        <w:t>Netesybos už Prekių pristatymo vėlavimą</w:t>
      </w:r>
    </w:p>
    <w:p w14:paraId="00000614">
      <w:pPr>
        <w:keepNext/>
        <w:keepLines/>
        <w:widowControl w:val="0"/>
        <w:tabs>
          <w:tab w:val="left" w:pos="567"/>
          <w:tab w:val="left" w:pos="851"/>
          <w:tab w:val="left" w:pos="992"/>
          <w:tab w:val="left" w:pos="1134"/>
        </w:tabs>
        <w:spacing w:line="259" w:lineRule="auto"/>
        <w:jc w:val="both"/>
        <w:rPr>
          <w:b/>
          <w:lang w:val="fi-FI"/>
        </w:rPr>
      </w:pPr>
    </w:p>
    <w:p w14:paraId="00000615">
      <w:pPr>
        <w:widowControl w:val="0"/>
        <w:tabs>
          <w:tab w:val="left" w:pos="567"/>
          <w:tab w:val="left" w:pos="851"/>
          <w:tab w:val="left" w:pos="992"/>
          <w:tab w:val="left" w:pos="1134"/>
        </w:tabs>
        <w:spacing w:line="259" w:lineRule="auto"/>
        <w:jc w:val="both"/>
        <w:rPr>
          <w:lang w:val="fi-FI"/>
        </w:rPr>
      </w:pPr>
      <w:r>
        <w:rPr>
          <w:lang w:val="fi-FI"/>
        </w:rPr>
        <w:t>8.2.1.</w:t>
      </w:r>
      <w:r>
        <w:rPr>
          <w:lang w:val="fi-FI"/>
        </w:rPr>
        <w:tab/>
      </w:r>
      <w:r>
        <w:rPr>
          <w:lang w:val="fi-FI"/>
        </w:rPr>
        <w:t xml:space="preserve">Jeigu Tiekėjas praleidžia Prekių pristatymo terminus, nustatytus Specialiosiose sąlygose, Tiekėjui iki Prekių pristatymo datos taikomos Specialiosiose sąlygose nurodyto dydžio netesybos. </w:t>
      </w:r>
    </w:p>
    <w:p w14:paraId="00000616">
      <w:pPr>
        <w:widowControl w:val="0"/>
        <w:tabs>
          <w:tab w:val="left" w:pos="567"/>
          <w:tab w:val="left" w:pos="851"/>
          <w:tab w:val="left" w:pos="992"/>
          <w:tab w:val="left" w:pos="1134"/>
        </w:tabs>
        <w:spacing w:line="259" w:lineRule="auto"/>
        <w:jc w:val="both"/>
        <w:rPr>
          <w:lang w:val="fi-FI"/>
        </w:rPr>
      </w:pPr>
      <w:r>
        <w:rPr>
          <w:lang w:val="fi-FI"/>
        </w:rPr>
        <w:t>8.2.2.</w:t>
      </w:r>
      <w:r>
        <w:rPr>
          <w:lang w:val="fi-FI"/>
        </w:rPr>
        <w:tab/>
      </w:r>
      <w:r>
        <w:rPr>
          <w:lang w:val="fi-FI"/>
        </w:rPr>
        <w:t>Tiekėjui praleidus Prekių dalies pristatymo terminą, netesybos skaičiuojamos nuo Prekių dalies pristatymo termino pabaigos (neįskaitytinai) iki Prekių dalies pristatymo datos (įskaitytinai), nustatytos pagal Prekių perdavimo–priėmimo aktus.</w:t>
      </w:r>
    </w:p>
    <w:p w14:paraId="00000617">
      <w:pPr>
        <w:widowControl w:val="0"/>
        <w:tabs>
          <w:tab w:val="left" w:pos="567"/>
          <w:tab w:val="left" w:pos="851"/>
          <w:tab w:val="left" w:pos="992"/>
          <w:tab w:val="left" w:pos="1134"/>
        </w:tabs>
        <w:spacing w:line="259" w:lineRule="auto"/>
        <w:jc w:val="both"/>
        <w:rPr>
          <w:i/>
          <w:lang w:val="fi-FI"/>
        </w:rPr>
      </w:pPr>
      <w:r>
        <w:rPr>
          <w:lang w:val="fi-FI"/>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0000618">
      <w:pPr>
        <w:widowControl w:val="0"/>
        <w:tabs>
          <w:tab w:val="left" w:pos="567"/>
          <w:tab w:val="left" w:pos="851"/>
          <w:tab w:val="left" w:pos="992"/>
          <w:tab w:val="left" w:pos="1134"/>
        </w:tabs>
        <w:spacing w:line="259" w:lineRule="auto"/>
        <w:jc w:val="both"/>
        <w:rPr>
          <w:i/>
          <w:lang w:val="fi-FI"/>
        </w:rPr>
      </w:pPr>
    </w:p>
    <w:p w14:paraId="00000619">
      <w:pPr>
        <w:keepNext/>
        <w:keepLines/>
        <w:widowControl w:val="0"/>
        <w:tabs>
          <w:tab w:val="left" w:pos="284"/>
          <w:tab w:val="left" w:pos="567"/>
          <w:tab w:val="left" w:pos="851"/>
          <w:tab w:val="left" w:pos="992"/>
          <w:tab w:val="left" w:pos="1134"/>
        </w:tabs>
        <w:spacing w:line="259" w:lineRule="auto"/>
        <w:jc w:val="center"/>
        <w:rPr>
          <w:b/>
          <w:smallCaps/>
          <w:lang w:val="fi-FI"/>
        </w:rPr>
      </w:pPr>
      <w:r>
        <w:rPr>
          <w:b/>
          <w:smallCaps/>
          <w:lang w:val="fi-FI"/>
        </w:rPr>
        <w:t>9.</w:t>
      </w:r>
      <w:r>
        <w:rPr>
          <w:b/>
          <w:smallCaps/>
          <w:lang w:val="fi-FI"/>
        </w:rPr>
        <w:tab/>
      </w:r>
      <w:r>
        <w:rPr>
          <w:b/>
          <w:smallCaps/>
          <w:lang w:val="fi-FI"/>
        </w:rPr>
        <w:t>PRIEVOLIŲ PAGAL SUTARTĮ ĮVYKDYMO UŽTIKRINIMO BŪDAI</w:t>
      </w:r>
    </w:p>
    <w:p w14:paraId="0000061A">
      <w:pPr>
        <w:keepNext/>
        <w:keepLines/>
        <w:widowControl w:val="0"/>
        <w:tabs>
          <w:tab w:val="left" w:pos="284"/>
          <w:tab w:val="left" w:pos="567"/>
          <w:tab w:val="left" w:pos="851"/>
          <w:tab w:val="left" w:pos="992"/>
          <w:tab w:val="left" w:pos="1134"/>
        </w:tabs>
        <w:spacing w:line="259" w:lineRule="auto"/>
        <w:rPr>
          <w:b/>
          <w:smallCaps/>
          <w:lang w:val="fi-FI"/>
        </w:rPr>
      </w:pPr>
    </w:p>
    <w:p w14:paraId="0000061B">
      <w:pPr>
        <w:widowControl w:val="0"/>
        <w:tabs>
          <w:tab w:val="left" w:pos="567"/>
          <w:tab w:val="left" w:pos="851"/>
          <w:tab w:val="left" w:pos="992"/>
          <w:tab w:val="left" w:pos="1134"/>
        </w:tabs>
        <w:spacing w:line="259" w:lineRule="auto"/>
        <w:jc w:val="both"/>
        <w:rPr>
          <w:lang w:val="fi-FI"/>
        </w:rPr>
      </w:pPr>
      <w:r>
        <w:rPr>
          <w:lang w:val="fi-FI"/>
        </w:rPr>
        <w:t xml:space="preserve">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 </w:t>
      </w:r>
    </w:p>
    <w:p w14:paraId="0000061C">
      <w:pPr>
        <w:widowControl w:val="0"/>
        <w:tabs>
          <w:tab w:val="left" w:pos="567"/>
          <w:tab w:val="left" w:pos="851"/>
          <w:tab w:val="left" w:pos="992"/>
          <w:tab w:val="left" w:pos="1134"/>
        </w:tabs>
        <w:spacing w:line="259" w:lineRule="auto"/>
        <w:jc w:val="both"/>
        <w:rPr>
          <w:lang w:val="fi-FI"/>
        </w:rPr>
      </w:pPr>
    </w:p>
    <w:p w14:paraId="0000061D">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10.</w:t>
      </w:r>
      <w:r>
        <w:rPr>
          <w:b/>
          <w:smallCaps/>
          <w:lang w:val="fi-FI"/>
        </w:rPr>
        <w:tab/>
      </w:r>
      <w:r>
        <w:rPr>
          <w:b/>
          <w:smallCaps/>
          <w:lang w:val="fi-FI"/>
        </w:rPr>
        <w:t>SUTARTIES ĮVYKDYMO UŽTIKRINIMAS (JEI TAIKOMA)</w:t>
      </w:r>
    </w:p>
    <w:p w14:paraId="0000061E">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1F">
      <w:pPr>
        <w:widowControl w:val="0"/>
        <w:tabs>
          <w:tab w:val="left" w:pos="567"/>
          <w:tab w:val="left" w:pos="851"/>
          <w:tab w:val="left" w:pos="992"/>
          <w:tab w:val="left" w:pos="1134"/>
        </w:tabs>
        <w:spacing w:line="259" w:lineRule="auto"/>
        <w:jc w:val="both"/>
        <w:rPr>
          <w:color w:val="000000"/>
          <w:highlight w:val="white"/>
          <w:lang w:val="fi-FI"/>
        </w:rPr>
      </w:pPr>
      <w:r>
        <w:rPr>
          <w:color w:val="000000"/>
          <w:highlight w:val="white"/>
          <w:lang w:val="fi-FI"/>
        </w:rPr>
        <w:t xml:space="preserve">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 </w:t>
      </w:r>
    </w:p>
    <w:p w14:paraId="00000620">
      <w:pPr>
        <w:widowControl w:val="0"/>
        <w:tabs>
          <w:tab w:val="left" w:pos="567"/>
          <w:tab w:val="left" w:pos="851"/>
          <w:tab w:val="left" w:pos="992"/>
          <w:tab w:val="left" w:pos="1134"/>
        </w:tabs>
        <w:spacing w:line="259" w:lineRule="auto"/>
        <w:jc w:val="both"/>
        <w:rPr>
          <w:b/>
          <w:lang w:val="fi-FI"/>
        </w:rPr>
      </w:pPr>
      <w:r>
        <w:rPr>
          <w:b/>
          <w:color w:val="000000"/>
          <w:lang w:val="fi-FI"/>
        </w:rPr>
        <w:t>Pastaba.</w:t>
      </w:r>
      <w:r>
        <w:rPr>
          <w:color w:val="000000"/>
          <w:lang w:val="fi-FI"/>
        </w:rPr>
        <w:t xml:space="preserve"> </w:t>
      </w:r>
      <w:r>
        <w:rPr>
          <w:color w:val="000000"/>
          <w:highlight w:val="white"/>
          <w:lang w:val="fi-FI"/>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0000621">
      <w:pPr>
        <w:tabs>
          <w:tab w:val="left" w:pos="567"/>
        </w:tabs>
        <w:spacing w:line="259" w:lineRule="auto"/>
        <w:jc w:val="both"/>
        <w:rPr>
          <w:lang w:val="fi-FI"/>
        </w:rPr>
      </w:pPr>
      <w:r>
        <w:rPr>
          <w:color w:val="000000"/>
          <w:highlight w:val="white"/>
          <w:lang w:val="fi-FI"/>
        </w:rPr>
        <w:t>10.2. Tiekėjas privalo pateikti Pirkėjui Specialiosiose sąlygose nurodytos rūšies ir dydžio Sutarties įvykdymo užtikrinimą – pirmo pareikalavimo banko garantiją arba draudimo bendrovės laidavimo draudimo raštą (</w:t>
      </w:r>
      <w:r>
        <w:rPr>
          <w:lang w:val="fi-FI"/>
        </w:rPr>
        <w:t>kartu su draudimo bendrovės laidavimo draudimo raštu turi būti pateiktas ir pasirašytas draudimo liudijimas (polisas) bei dokumentas, įrodantis, kad draudimo įmoka už išduotą laidavimo draudimo raštą yra sumokėta</w:t>
      </w:r>
      <w:r>
        <w:rPr>
          <w:color w:val="000000"/>
          <w:highlight w:val="white"/>
          <w:lang w:val="fi-FI"/>
        </w:rPr>
        <w:t xml:space="preserve">), atitinkantį Bendrųjų sąlygų 10 skyriuje nurodytas sąlygas, per Specialiosiose sąlygose nustatytą terminą (toliau – </w:t>
      </w:r>
      <w:r>
        <w:rPr>
          <w:b/>
          <w:color w:val="000000"/>
          <w:highlight w:val="white"/>
          <w:lang w:val="fi-FI"/>
        </w:rPr>
        <w:t>Sutarties įvykdymo užtikrinimas</w:t>
      </w:r>
      <w:r>
        <w:rPr>
          <w:color w:val="000000"/>
          <w:highlight w:val="white"/>
          <w:lang w:val="fi-FI"/>
        </w:rPr>
        <w:t>).</w:t>
      </w:r>
      <w:r>
        <w:rPr>
          <w:lang w:val="fi-FI"/>
        </w:rPr>
        <w:t xml:space="preserve"> </w:t>
      </w:r>
    </w:p>
    <w:p w14:paraId="00000622">
      <w:pPr>
        <w:tabs>
          <w:tab w:val="left" w:pos="567"/>
        </w:tabs>
        <w:spacing w:line="259" w:lineRule="auto"/>
        <w:jc w:val="both"/>
        <w:rPr>
          <w:lang w:val="fi-FI"/>
        </w:rPr>
      </w:pPr>
      <w:r>
        <w:rPr>
          <w:lang w:val="fi-FI"/>
        </w:rPr>
        <w:t xml:space="preserve">10.3. Jei Tiekėjas nepateikia Pirkėjui Sutartyje nustatytos vertės Sutarties įvykdymo užtikrinimo per Sutartyje nustatytą terminą, laikoma, kad Tiekėjas atsisakė sudaryti Sutartį ir Pirkėjas turi teisę VPĮ nustatyta tvarka pasiūlyti sudaryti Sutartį kitam tiekėjui. </w:t>
      </w:r>
    </w:p>
    <w:p w14:paraId="00000623">
      <w:pPr>
        <w:tabs>
          <w:tab w:val="left" w:pos="567"/>
        </w:tabs>
        <w:spacing w:line="259" w:lineRule="auto"/>
        <w:jc w:val="both"/>
        <w:rPr>
          <w:lang w:val="fi-FI"/>
        </w:rPr>
      </w:pPr>
      <w:r>
        <w:rPr>
          <w:lang w:val="fi-FI"/>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00000624">
      <w:pPr>
        <w:tabs>
          <w:tab w:val="left" w:pos="567"/>
        </w:tabs>
        <w:spacing w:line="259" w:lineRule="auto"/>
        <w:jc w:val="both"/>
        <w:rPr>
          <w:lang w:val="fi-FI"/>
        </w:rPr>
      </w:pPr>
      <w:r>
        <w:rPr>
          <w:lang w:val="fi-FI"/>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00000625">
      <w:pPr>
        <w:tabs>
          <w:tab w:val="left" w:pos="567"/>
        </w:tabs>
        <w:spacing w:line="259" w:lineRule="auto"/>
        <w:jc w:val="both"/>
        <w:rPr>
          <w:lang w:val="fi-FI"/>
        </w:rPr>
      </w:pPr>
      <w:r>
        <w:rPr>
          <w:lang w:val="fi-FI"/>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0000626">
      <w:pPr>
        <w:tabs>
          <w:tab w:val="left" w:pos="567"/>
        </w:tabs>
        <w:spacing w:line="259" w:lineRule="auto"/>
        <w:jc w:val="both"/>
        <w:rPr>
          <w:lang w:val="fi-FI"/>
        </w:rPr>
      </w:pPr>
      <w:r>
        <w:rPr>
          <w:lang w:val="fi-FI"/>
        </w:rPr>
        <w:t>10.7. Sutarties įvykdymo užtikrinimas turi įsigalioti ne vėliau negu jo pateikimo Pirkėjui dieną. </w:t>
      </w:r>
    </w:p>
    <w:p w14:paraId="00000627">
      <w:pPr>
        <w:tabs>
          <w:tab w:val="left" w:pos="567"/>
        </w:tabs>
        <w:spacing w:line="259" w:lineRule="auto"/>
        <w:jc w:val="both"/>
        <w:rPr>
          <w:lang w:val="fi-FI"/>
        </w:rPr>
      </w:pPr>
      <w:r>
        <w:rPr>
          <w:lang w:val="fi-FI"/>
        </w:rPr>
        <w:t>10.8. Sutarties įvykdymo užtikrinimo suma turi būti nurodoma ir išmokama eurais. </w:t>
      </w:r>
    </w:p>
    <w:p w14:paraId="00000628">
      <w:pPr>
        <w:tabs>
          <w:tab w:val="left" w:pos="567"/>
        </w:tabs>
        <w:spacing w:line="259" w:lineRule="auto"/>
        <w:jc w:val="both"/>
        <w:rPr>
          <w:lang w:val="fi-FI"/>
        </w:rPr>
      </w:pPr>
      <w:r>
        <w:rPr>
          <w:lang w:val="fi-FI"/>
        </w:rPr>
        <w:t>10.9. Sutarties įvykdymo užtikrinimas turi būti surašytas lietuvių arba kita kalba (esant Pirkėjo prašymui, turi būti pateiktas vertimas į lietuvių kalbą). </w:t>
      </w:r>
    </w:p>
    <w:p w14:paraId="00000629">
      <w:pPr>
        <w:tabs>
          <w:tab w:val="left" w:pos="567"/>
        </w:tabs>
        <w:spacing w:line="259" w:lineRule="auto"/>
        <w:jc w:val="both"/>
        <w:rPr>
          <w:lang w:val="fi-FI"/>
        </w:rPr>
      </w:pPr>
      <w:r>
        <w:rPr>
          <w:lang w:val="fi-FI"/>
        </w:rPr>
        <w:t>10.10. Sutarties įvykdymo užtikrinime nurodytas jo galiojimo terminas turi būti ne trumpesnis nei Sutarties galiojimo terminas. </w:t>
      </w:r>
    </w:p>
    <w:p w14:paraId="0000062A">
      <w:pPr>
        <w:tabs>
          <w:tab w:val="left" w:pos="567"/>
        </w:tabs>
        <w:spacing w:line="259" w:lineRule="auto"/>
        <w:jc w:val="both"/>
        <w:rPr>
          <w:lang w:val="fi-FI"/>
        </w:rPr>
      </w:pPr>
      <w:r>
        <w:rPr>
          <w:lang w:val="fi-FI"/>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000062B">
      <w:pPr>
        <w:tabs>
          <w:tab w:val="left" w:pos="567"/>
        </w:tabs>
        <w:spacing w:line="259" w:lineRule="auto"/>
        <w:jc w:val="both"/>
        <w:rPr>
          <w:lang w:val="fi-FI"/>
        </w:rPr>
      </w:pPr>
      <w:r>
        <w:rPr>
          <w:lang w:val="fi-FI"/>
        </w:rPr>
        <w:t xml:space="preserve">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 </w:t>
      </w:r>
    </w:p>
    <w:p w14:paraId="0000062C">
      <w:pPr>
        <w:tabs>
          <w:tab w:val="left" w:pos="567"/>
        </w:tabs>
        <w:spacing w:line="259" w:lineRule="auto"/>
        <w:jc w:val="both"/>
        <w:rPr>
          <w:lang w:val="fi-FI"/>
        </w:rPr>
      </w:pPr>
      <w:r>
        <w:rPr>
          <w:lang w:val="fi-FI"/>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000062D">
      <w:pPr>
        <w:tabs>
          <w:tab w:val="left" w:pos="567"/>
        </w:tabs>
        <w:spacing w:line="259" w:lineRule="auto"/>
        <w:jc w:val="both"/>
        <w:rPr>
          <w:lang w:val="fi-FI"/>
        </w:rPr>
      </w:pPr>
      <w:r>
        <w:rPr>
          <w:lang w:val="fi-FI"/>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0000062E">
      <w:pPr>
        <w:tabs>
          <w:tab w:val="left" w:pos="567"/>
        </w:tabs>
        <w:spacing w:line="259" w:lineRule="auto"/>
        <w:jc w:val="both"/>
        <w:rPr>
          <w:lang w:val="fi-FI"/>
        </w:rPr>
      </w:pPr>
      <w:r>
        <w:rPr>
          <w:lang w:val="fi-FI"/>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000062F">
      <w:pPr>
        <w:tabs>
          <w:tab w:val="left" w:pos="567"/>
        </w:tabs>
        <w:spacing w:line="259" w:lineRule="auto"/>
        <w:jc w:val="both"/>
        <w:rPr>
          <w:lang w:val="fi-FI"/>
        </w:rPr>
      </w:pPr>
      <w:r>
        <w:rPr>
          <w:lang w:val="fi-FI"/>
        </w:rPr>
        <w:t xml:space="preserve">10.16. Pirkėjas </w:t>
      </w:r>
      <w:r>
        <w:rPr>
          <w:color w:val="000000"/>
          <w:lang w:val="fi-FI"/>
        </w:rPr>
        <w:t>gali pasinaudoti Sutarties įvykdymo užtikrinimu, esant bet kuriai iš žemiau nurodytų aplinkybių:  </w:t>
      </w:r>
    </w:p>
    <w:p w14:paraId="00000630">
      <w:pPr>
        <w:tabs>
          <w:tab w:val="left" w:pos="567"/>
        </w:tabs>
        <w:spacing w:line="259" w:lineRule="auto"/>
        <w:jc w:val="both"/>
        <w:rPr>
          <w:lang w:val="fi-FI"/>
        </w:rPr>
      </w:pPr>
      <w:r>
        <w:rPr>
          <w:color w:val="000000"/>
          <w:lang w:val="fi-FI"/>
        </w:rPr>
        <w:t>10.16.1. Tiekėjas neįvykdė, nevykdo arba netinkamai vykdo savo įsipareigojimus pagal Sutartį;  </w:t>
      </w:r>
    </w:p>
    <w:p w14:paraId="00000631">
      <w:pPr>
        <w:tabs>
          <w:tab w:val="left" w:pos="567"/>
        </w:tabs>
        <w:spacing w:line="259" w:lineRule="auto"/>
        <w:jc w:val="both"/>
        <w:rPr>
          <w:lang w:val="fi-FI"/>
        </w:rPr>
      </w:pPr>
      <w:r>
        <w:rPr>
          <w:color w:val="000000"/>
          <w:lang w:val="fi-FI"/>
        </w:rPr>
        <w:t>10.16.2. Tiekėjas per protingai nustatytą laikotarpį neįvykdo Pirkėjo nurodymo ištaisyti Prekių trūkumus;  </w:t>
      </w:r>
    </w:p>
    <w:p w14:paraId="00000632">
      <w:pPr>
        <w:tabs>
          <w:tab w:val="left" w:pos="567"/>
        </w:tabs>
        <w:spacing w:line="259" w:lineRule="auto"/>
        <w:jc w:val="both"/>
        <w:rPr>
          <w:lang w:val="fi-FI"/>
        </w:rPr>
      </w:pPr>
      <w:r>
        <w:rPr>
          <w:color w:val="000000"/>
          <w:lang w:val="fi-FI"/>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00000633">
      <w:pPr>
        <w:tabs>
          <w:tab w:val="left" w:pos="567"/>
        </w:tabs>
        <w:spacing w:line="259" w:lineRule="auto"/>
        <w:jc w:val="both"/>
        <w:rPr>
          <w:lang w:val="fi-FI"/>
        </w:rPr>
      </w:pPr>
      <w:r>
        <w:rPr>
          <w:color w:val="000000"/>
          <w:lang w:val="fi-FI"/>
        </w:rPr>
        <w:t>10.16.4. Tiekėjas be pateisinamos priežasties (ne Sutartyje nustatytais atvejais) vienašališkai nutraukia Sutartį. </w:t>
      </w:r>
    </w:p>
    <w:p w14:paraId="00000634">
      <w:pPr>
        <w:tabs>
          <w:tab w:val="left" w:pos="567"/>
        </w:tabs>
        <w:spacing w:line="259" w:lineRule="auto"/>
        <w:jc w:val="both"/>
        <w:rPr>
          <w:lang w:val="fi-FI"/>
        </w:rPr>
      </w:pPr>
    </w:p>
    <w:p w14:paraId="00000635">
      <w:pPr>
        <w:keepNext/>
        <w:keepLines/>
        <w:tabs>
          <w:tab w:val="left" w:pos="567"/>
          <w:tab w:val="left" w:pos="851"/>
          <w:tab w:val="left" w:pos="992"/>
          <w:tab w:val="left" w:pos="1134"/>
        </w:tabs>
        <w:spacing w:line="259" w:lineRule="auto"/>
        <w:jc w:val="center"/>
        <w:rPr>
          <w:smallCaps/>
          <w:lang w:val="fi-FI"/>
        </w:rPr>
      </w:pPr>
      <w:r>
        <w:rPr>
          <w:b/>
          <w:smallCaps/>
          <w:lang w:val="fi-FI"/>
        </w:rPr>
        <w:t>11.</w:t>
      </w:r>
      <w:r>
        <w:rPr>
          <w:b/>
          <w:smallCaps/>
          <w:lang w:val="fi-FI"/>
        </w:rPr>
        <w:tab/>
      </w:r>
      <w:r>
        <w:rPr>
          <w:b/>
          <w:smallCaps/>
          <w:lang w:val="fi-FI"/>
        </w:rPr>
        <w:t>SUTARTIES KAINA IR JOS PERSKAIČIAVIMAS</w:t>
      </w:r>
    </w:p>
    <w:p w14:paraId="00000636">
      <w:pPr>
        <w:keepNext/>
        <w:keepLines/>
        <w:widowControl w:val="0"/>
        <w:tabs>
          <w:tab w:val="left" w:pos="567"/>
          <w:tab w:val="left" w:pos="851"/>
          <w:tab w:val="left" w:pos="992"/>
          <w:tab w:val="left" w:pos="1134"/>
        </w:tabs>
        <w:spacing w:line="259" w:lineRule="auto"/>
        <w:jc w:val="both"/>
        <w:rPr>
          <w:b/>
          <w:lang w:val="fi-FI"/>
        </w:rPr>
      </w:pPr>
    </w:p>
    <w:p w14:paraId="00000637">
      <w:pPr>
        <w:widowControl w:val="0"/>
        <w:tabs>
          <w:tab w:val="left" w:pos="567"/>
          <w:tab w:val="left" w:pos="851"/>
          <w:tab w:val="left" w:pos="992"/>
          <w:tab w:val="left" w:pos="1134"/>
        </w:tabs>
        <w:spacing w:line="259" w:lineRule="auto"/>
        <w:jc w:val="both"/>
        <w:rPr>
          <w:lang w:val="fi-FI"/>
        </w:rPr>
      </w:pPr>
      <w:r>
        <w:rPr>
          <w:lang w:val="fi-FI"/>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0000638">
      <w:pPr>
        <w:widowControl w:val="0"/>
        <w:tabs>
          <w:tab w:val="left" w:pos="567"/>
          <w:tab w:val="left" w:pos="851"/>
          <w:tab w:val="left" w:pos="992"/>
          <w:tab w:val="left" w:pos="1134"/>
        </w:tabs>
        <w:spacing w:line="259" w:lineRule="auto"/>
        <w:jc w:val="both"/>
        <w:rPr>
          <w:lang w:val="fi-FI"/>
        </w:rPr>
      </w:pPr>
      <w:r>
        <w:rPr>
          <w:lang w:val="fi-FI"/>
        </w:rPr>
        <w:t>11.2. Pradinės sutarties vertė yra nurodyta Specialiosiose sąlygose.</w:t>
      </w:r>
    </w:p>
    <w:p w14:paraId="00000639">
      <w:pPr>
        <w:widowControl w:val="0"/>
        <w:tabs>
          <w:tab w:val="left" w:pos="567"/>
          <w:tab w:val="left" w:pos="851"/>
          <w:tab w:val="left" w:pos="992"/>
          <w:tab w:val="left" w:pos="1134"/>
        </w:tabs>
        <w:spacing w:line="259" w:lineRule="auto"/>
        <w:jc w:val="both"/>
        <w:rPr>
          <w:lang w:val="fi-FI"/>
        </w:rPr>
      </w:pPr>
      <w:r>
        <w:rPr>
          <w:lang w:val="fi-FI"/>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000063A">
      <w:pPr>
        <w:widowControl w:val="0"/>
        <w:tabs>
          <w:tab w:val="left" w:pos="567"/>
          <w:tab w:val="left" w:pos="851"/>
          <w:tab w:val="left" w:pos="992"/>
          <w:tab w:val="left" w:pos="1134"/>
        </w:tabs>
        <w:spacing w:line="259" w:lineRule="auto"/>
        <w:jc w:val="both"/>
        <w:rPr>
          <w:lang w:val="fi-FI"/>
        </w:rPr>
      </w:pPr>
      <w:r>
        <w:rPr>
          <w:lang w:val="fi-FI"/>
        </w:rPr>
        <w:t>11.4. Sutarties kainos peržiūra atliekama Specialiosiose sąlygose nustatyta tvarka.</w:t>
      </w:r>
    </w:p>
    <w:p w14:paraId="0000063B">
      <w:pPr>
        <w:widowControl w:val="0"/>
        <w:tabs>
          <w:tab w:val="left" w:pos="567"/>
          <w:tab w:val="left" w:pos="851"/>
          <w:tab w:val="left" w:pos="992"/>
          <w:tab w:val="left" w:pos="1134"/>
        </w:tabs>
        <w:spacing w:line="259" w:lineRule="auto"/>
        <w:jc w:val="both"/>
        <w:rPr>
          <w:lang w:val="fi-FI"/>
        </w:rPr>
      </w:pPr>
    </w:p>
    <w:p w14:paraId="0000063C">
      <w:pPr>
        <w:keepNext/>
        <w:keepLines/>
        <w:tabs>
          <w:tab w:val="left" w:pos="567"/>
          <w:tab w:val="left" w:pos="851"/>
          <w:tab w:val="left" w:pos="992"/>
          <w:tab w:val="left" w:pos="1134"/>
        </w:tabs>
        <w:spacing w:line="259" w:lineRule="auto"/>
        <w:jc w:val="center"/>
        <w:rPr>
          <w:b/>
          <w:smallCaps/>
          <w:lang w:val="fi-FI"/>
        </w:rPr>
      </w:pPr>
      <w:r>
        <w:rPr>
          <w:b/>
          <w:smallCaps/>
          <w:lang w:val="fi-FI"/>
        </w:rPr>
        <w:t>12.</w:t>
      </w:r>
      <w:r>
        <w:rPr>
          <w:b/>
          <w:smallCaps/>
          <w:lang w:val="fi-FI"/>
        </w:rPr>
        <w:tab/>
      </w:r>
      <w:r>
        <w:rPr>
          <w:b/>
          <w:smallCaps/>
          <w:lang w:val="fi-FI"/>
        </w:rPr>
        <w:t>ATSISKAITYMO TVARKA</w:t>
      </w:r>
    </w:p>
    <w:p w14:paraId="0000063D">
      <w:pPr>
        <w:keepNext/>
        <w:keepLines/>
        <w:tabs>
          <w:tab w:val="left" w:pos="567"/>
          <w:tab w:val="left" w:pos="851"/>
          <w:tab w:val="left" w:pos="992"/>
          <w:tab w:val="left" w:pos="1134"/>
        </w:tabs>
        <w:spacing w:line="259" w:lineRule="auto"/>
        <w:jc w:val="center"/>
        <w:rPr>
          <w:b/>
          <w:smallCaps/>
          <w:lang w:val="fi-FI"/>
        </w:rPr>
      </w:pPr>
    </w:p>
    <w:p w14:paraId="0000063E">
      <w:pPr>
        <w:keepNext/>
        <w:keepLines/>
        <w:widowControl w:val="0"/>
        <w:tabs>
          <w:tab w:val="left" w:pos="567"/>
          <w:tab w:val="left" w:pos="851"/>
          <w:tab w:val="left" w:pos="992"/>
          <w:tab w:val="left" w:pos="1134"/>
        </w:tabs>
        <w:spacing w:line="259" w:lineRule="auto"/>
        <w:jc w:val="center"/>
        <w:rPr>
          <w:b/>
          <w:lang w:val="fi-FI"/>
        </w:rPr>
      </w:pPr>
      <w:r>
        <w:rPr>
          <w:b/>
          <w:lang w:val="fi-FI"/>
        </w:rPr>
        <w:t>12.1.</w:t>
      </w:r>
      <w:r>
        <w:rPr>
          <w:b/>
          <w:lang w:val="fi-FI"/>
        </w:rPr>
        <w:tab/>
      </w:r>
      <w:r>
        <w:rPr>
          <w:b/>
          <w:lang w:val="fi-FI"/>
        </w:rPr>
        <w:t>Išankstinis mokėjimas (avansas) (jei taikoma)</w:t>
      </w:r>
    </w:p>
    <w:p w14:paraId="0000063F">
      <w:pPr>
        <w:keepNext/>
        <w:keepLines/>
        <w:widowControl w:val="0"/>
        <w:tabs>
          <w:tab w:val="left" w:pos="567"/>
          <w:tab w:val="left" w:pos="851"/>
          <w:tab w:val="left" w:pos="992"/>
          <w:tab w:val="left" w:pos="1134"/>
        </w:tabs>
        <w:spacing w:line="259" w:lineRule="auto"/>
        <w:jc w:val="both"/>
        <w:rPr>
          <w:b/>
          <w:lang w:val="fi-FI"/>
        </w:rPr>
      </w:pPr>
    </w:p>
    <w:p w14:paraId="00000640">
      <w:pPr>
        <w:tabs>
          <w:tab w:val="left" w:pos="567"/>
        </w:tabs>
        <w:spacing w:line="259" w:lineRule="auto"/>
        <w:jc w:val="both"/>
        <w:rPr>
          <w:lang w:val="fi-FI"/>
        </w:rPr>
      </w:pPr>
      <w:r>
        <w:rPr>
          <w:lang w:val="fi-FI"/>
        </w:rPr>
        <w:t>12.1.1. Bendrųjų sąlygų 12.1 poskyrio sąlygos taikomos tuo atveju, jei Specialiosiose sąlygose yra nurodyta, kad Tiekėjui mokamas išankstinis mokėjimas (avansas) (toliau – avansas). </w:t>
      </w:r>
    </w:p>
    <w:p w14:paraId="00000641">
      <w:pPr>
        <w:tabs>
          <w:tab w:val="left" w:pos="567"/>
        </w:tabs>
        <w:spacing w:line="259" w:lineRule="auto"/>
        <w:jc w:val="both"/>
        <w:rPr>
          <w:lang w:val="fi-FI"/>
        </w:rPr>
      </w:pPr>
      <w:r>
        <w:rPr>
          <w:lang w:val="fi-FI"/>
        </w:rPr>
        <w:t>12.1.2. Pirkėjas sumoka Tiekėjui avansą – ne daugiau kaip Specialiosiose sąlygose nurodytas avanso dydis.</w:t>
      </w:r>
    </w:p>
    <w:p w14:paraId="00000642">
      <w:pPr>
        <w:tabs>
          <w:tab w:val="left" w:pos="567"/>
        </w:tabs>
        <w:spacing w:line="259" w:lineRule="auto"/>
        <w:jc w:val="both"/>
        <w:rPr>
          <w:color w:val="000000"/>
          <w:lang w:val="fi-FI"/>
        </w:rPr>
      </w:pPr>
      <w:r>
        <w:rPr>
          <w:lang w:val="fi-FI"/>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w:t>
      </w:r>
      <w:r>
        <w:rPr>
          <w:color w:val="000000"/>
          <w:lang w:val="fi-FI"/>
        </w:rPr>
        <w:t xml:space="preserve">arba draudimo bendrovės laidavimo draudimo raštą arba kitą sutartinių įsipareigojimų įvykdymo užtikrinimą </w:t>
      </w:r>
      <w:r>
        <w:rPr>
          <w:lang w:val="fi-FI"/>
        </w:rPr>
        <w:t xml:space="preserve">ne mažesnei kaip Specialiosiose sąlygose prašomo avanso dydžio sumai (toliau – </w:t>
      </w:r>
      <w:r>
        <w:rPr>
          <w:b/>
          <w:lang w:val="fi-FI"/>
        </w:rPr>
        <w:t>Avanso užtikrinimas</w:t>
      </w:r>
      <w:r>
        <w:rPr>
          <w:lang w:val="fi-FI"/>
        </w:rPr>
        <w:t>)</w:t>
      </w:r>
      <w:r>
        <w:rPr>
          <w:color w:val="000000"/>
          <w:lang w:val="fi-FI"/>
        </w:rPr>
        <w:t>. </w:t>
      </w:r>
    </w:p>
    <w:p w14:paraId="00000643">
      <w:pPr>
        <w:tabs>
          <w:tab w:val="left" w:pos="567"/>
        </w:tabs>
        <w:spacing w:line="259" w:lineRule="auto"/>
        <w:jc w:val="both"/>
        <w:rPr>
          <w:lang w:val="fi-FI"/>
        </w:rPr>
      </w:pPr>
      <w:r>
        <w:rPr>
          <w:b/>
          <w:lang w:val="fi-FI"/>
        </w:rPr>
        <w:t>Pastaba.</w:t>
      </w:r>
      <w:r>
        <w:rPr>
          <w:lang w:val="fi-FI"/>
        </w:rPr>
        <w:t xml:space="preserve"> </w:t>
      </w:r>
      <w:r>
        <w:rPr>
          <w:color w:val="000000"/>
          <w:highlight w:val="white"/>
          <w:lang w:val="fi-FI"/>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lang w:val="fi-FI"/>
        </w:rPr>
        <w:t xml:space="preserve"> </w:t>
      </w:r>
      <w:r>
        <w:rPr>
          <w:color w:val="000000"/>
          <w:highlight w:val="white"/>
          <w:lang w:val="fi-FI"/>
        </w:rPr>
        <w:t>įstatymų bei kitų teisės aktų</w:t>
      </w:r>
      <w:r>
        <w:rPr>
          <w:lang w:val="fi-FI"/>
        </w:rPr>
        <w:t xml:space="preserve"> </w:t>
      </w:r>
      <w:r>
        <w:rPr>
          <w:color w:val="000000"/>
          <w:highlight w:val="white"/>
          <w:lang w:val="fi-FI"/>
        </w:rPr>
        <w:t>nuostatas.</w:t>
      </w:r>
    </w:p>
    <w:p w14:paraId="00000644">
      <w:pPr>
        <w:tabs>
          <w:tab w:val="left" w:pos="567"/>
        </w:tabs>
        <w:spacing w:line="259" w:lineRule="auto"/>
        <w:jc w:val="both"/>
        <w:rPr>
          <w:lang w:val="fi-FI"/>
        </w:rPr>
      </w:pPr>
      <w:r>
        <w:rPr>
          <w:color w:val="000000"/>
          <w:lang w:val="fi-FI"/>
        </w:rPr>
        <w:t xml:space="preserve">12.1.4. </w:t>
      </w:r>
      <w:r>
        <w:rPr>
          <w:lang w:val="fi-FI"/>
        </w:rPr>
        <w:t>Prieš pateikdamas Avanso užtikrinimą, Tiekėjas gali prašyti Pirkėjo patvirtinti, kad Pirkėjas sutinka priimti Tiekėjo siūlomą Avanso užtikrinimą. Tokiu atveju, Pirkėjas privalo atsakyti Tiekėjui ne vėliau kaip per 5 (penkias) darbo dienas nuo Tiekėjo prašymo gavimo dienos. </w:t>
      </w:r>
    </w:p>
    <w:p w14:paraId="00000645">
      <w:pPr>
        <w:tabs>
          <w:tab w:val="left" w:pos="567"/>
        </w:tabs>
        <w:spacing w:line="259" w:lineRule="auto"/>
        <w:jc w:val="both"/>
        <w:rPr>
          <w:lang w:val="fi-FI"/>
        </w:rPr>
      </w:pPr>
      <w:r>
        <w:rPr>
          <w:color w:val="000000"/>
          <w:lang w:val="fi-FI"/>
        </w:rPr>
        <w:t xml:space="preserve">12.1.5. </w:t>
      </w:r>
      <w:r>
        <w:rPr>
          <w:lang w:val="fi-FI"/>
        </w:rPr>
        <w:t>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0000646">
      <w:pPr>
        <w:tabs>
          <w:tab w:val="left" w:pos="567"/>
        </w:tabs>
        <w:spacing w:line="259" w:lineRule="auto"/>
        <w:jc w:val="both"/>
        <w:rPr>
          <w:lang w:val="fi-FI"/>
        </w:rPr>
      </w:pPr>
      <w:r>
        <w:rPr>
          <w:lang w:val="fi-FI"/>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0000647">
      <w:pPr>
        <w:tabs>
          <w:tab w:val="left" w:pos="567"/>
        </w:tabs>
        <w:spacing w:line="259" w:lineRule="auto"/>
        <w:jc w:val="both"/>
        <w:rPr>
          <w:lang w:val="fi-FI"/>
        </w:rPr>
      </w:pPr>
      <w:r>
        <w:rPr>
          <w:lang w:val="fi-FI"/>
        </w:rPr>
        <w:t>12.1.7. Avanso užtikrinimo suma turi būti nurodoma ir išmokama eurais. </w:t>
      </w:r>
    </w:p>
    <w:p w14:paraId="00000648">
      <w:pPr>
        <w:tabs>
          <w:tab w:val="left" w:pos="567"/>
        </w:tabs>
        <w:spacing w:line="259" w:lineRule="auto"/>
        <w:jc w:val="both"/>
        <w:rPr>
          <w:lang w:val="fi-FI"/>
        </w:rPr>
      </w:pPr>
      <w:r>
        <w:rPr>
          <w:lang w:val="fi-FI"/>
        </w:rPr>
        <w:t>12.1.8. Avanso užtikrinimas turi būti surašytas lietuvių arba kita kalba (esant Pirkėjo prašymui, turi būti pateiktas vertimas į lietuvių kalbą). </w:t>
      </w:r>
    </w:p>
    <w:p w14:paraId="00000649">
      <w:pPr>
        <w:tabs>
          <w:tab w:val="left" w:pos="567"/>
        </w:tabs>
        <w:spacing w:line="259" w:lineRule="auto"/>
        <w:jc w:val="both"/>
        <w:rPr>
          <w:lang w:val="fi-FI"/>
        </w:rPr>
      </w:pPr>
      <w:r>
        <w:rPr>
          <w:lang w:val="fi-FI"/>
        </w:rPr>
        <w:t>12.1.9. Avanso užtikrinimas, neatitinkantis šiame Sutarties poskyryje nustatytų reikalavimų, nebus priimamas. </w:t>
      </w:r>
    </w:p>
    <w:p w14:paraId="0000064A">
      <w:pPr>
        <w:tabs>
          <w:tab w:val="left" w:pos="567"/>
        </w:tabs>
        <w:spacing w:line="259" w:lineRule="auto"/>
        <w:jc w:val="both"/>
        <w:rPr>
          <w:lang w:val="fi-FI"/>
        </w:rPr>
      </w:pPr>
      <w:r>
        <w:rPr>
          <w:color w:val="000000"/>
          <w:lang w:val="fi-FI"/>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000064B">
      <w:pPr>
        <w:tabs>
          <w:tab w:val="left" w:pos="567"/>
        </w:tabs>
        <w:spacing w:line="259" w:lineRule="auto"/>
        <w:jc w:val="both"/>
        <w:rPr>
          <w:lang w:val="fi-FI"/>
        </w:rPr>
      </w:pPr>
      <w:r>
        <w:rPr>
          <w:lang w:val="fi-FI"/>
        </w:rPr>
        <w:t>12.1.11. Pirkėjas sumoka Tiekėjui avansą per Specialiosiose sąlygose numatytą terminą nuo išankstinio mokėjimo sąskaitos ir Avanso užtikrinimo (jei taikoma) gavimo dienos. Sumokėto avanso suma išskaitoma iš mokėtinos sumos. </w:t>
      </w:r>
    </w:p>
    <w:p w14:paraId="0000064C">
      <w:pPr>
        <w:tabs>
          <w:tab w:val="left" w:pos="567"/>
        </w:tabs>
        <w:spacing w:line="259" w:lineRule="auto"/>
        <w:jc w:val="both"/>
        <w:rPr>
          <w:lang w:val="fi-FI"/>
        </w:rPr>
      </w:pPr>
      <w:r>
        <w:rPr>
          <w:lang w:val="fi-FI"/>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000064D">
      <w:pPr>
        <w:tabs>
          <w:tab w:val="left" w:pos="567"/>
        </w:tabs>
        <w:spacing w:line="259" w:lineRule="auto"/>
        <w:jc w:val="both"/>
        <w:rPr>
          <w:lang w:val="fi-FI"/>
        </w:rPr>
      </w:pPr>
    </w:p>
    <w:p w14:paraId="0000064E">
      <w:pPr>
        <w:keepNext/>
        <w:keepLines/>
        <w:widowControl w:val="0"/>
        <w:tabs>
          <w:tab w:val="left" w:pos="567"/>
          <w:tab w:val="left" w:pos="851"/>
          <w:tab w:val="left" w:pos="992"/>
          <w:tab w:val="left" w:pos="1134"/>
        </w:tabs>
        <w:spacing w:line="259" w:lineRule="auto"/>
        <w:jc w:val="center"/>
        <w:rPr>
          <w:b/>
          <w:lang w:val="fi-FI"/>
        </w:rPr>
      </w:pPr>
      <w:r>
        <w:rPr>
          <w:b/>
          <w:lang w:val="fi-FI"/>
        </w:rPr>
        <w:t>12.2.</w:t>
      </w:r>
      <w:r>
        <w:rPr>
          <w:b/>
          <w:lang w:val="fi-FI"/>
        </w:rPr>
        <w:tab/>
      </w:r>
      <w:r>
        <w:rPr>
          <w:b/>
          <w:lang w:val="fi-FI"/>
        </w:rPr>
        <w:t>Mokėjimų tvarka</w:t>
      </w:r>
    </w:p>
    <w:p w14:paraId="0000064F">
      <w:pPr>
        <w:keepNext/>
        <w:keepLines/>
        <w:widowControl w:val="0"/>
        <w:tabs>
          <w:tab w:val="left" w:pos="567"/>
          <w:tab w:val="left" w:pos="851"/>
          <w:tab w:val="left" w:pos="992"/>
          <w:tab w:val="left" w:pos="1134"/>
        </w:tabs>
        <w:spacing w:line="259" w:lineRule="auto"/>
        <w:jc w:val="both"/>
        <w:rPr>
          <w:b/>
          <w:lang w:val="fi-FI"/>
        </w:rPr>
      </w:pPr>
    </w:p>
    <w:p w14:paraId="00000650">
      <w:pPr>
        <w:widowControl w:val="0"/>
        <w:tabs>
          <w:tab w:val="left" w:pos="567"/>
          <w:tab w:val="left" w:pos="851"/>
          <w:tab w:val="left" w:pos="992"/>
          <w:tab w:val="left" w:pos="1134"/>
        </w:tabs>
        <w:spacing w:line="259" w:lineRule="auto"/>
        <w:jc w:val="both"/>
        <w:rPr>
          <w:lang w:val="fi-FI"/>
        </w:rPr>
      </w:pPr>
      <w:r>
        <w:rPr>
          <w:lang w:val="fi-FI"/>
        </w:rPr>
        <w:t>12.2.1.</w:t>
      </w:r>
      <w:r>
        <w:rPr>
          <w:lang w:val="fi-FI"/>
        </w:rPr>
        <w:tab/>
      </w:r>
      <w:r>
        <w:rPr>
          <w:lang w:val="fi-FI"/>
        </w:rPr>
        <w:t>Tiekėjas išrašo Sąskaitą tik Šalims pasirašius Prekių perdavimo–priėmimo aktą, jeigu kitaip nenumatyta Specialiosiose sąlygose:</w:t>
      </w:r>
    </w:p>
    <w:p w14:paraId="00000651">
      <w:pPr>
        <w:widowControl w:val="0"/>
        <w:tabs>
          <w:tab w:val="left" w:pos="567"/>
          <w:tab w:val="left" w:pos="851"/>
          <w:tab w:val="left" w:pos="992"/>
          <w:tab w:val="left" w:pos="1134"/>
        </w:tabs>
        <w:spacing w:line="259" w:lineRule="auto"/>
        <w:jc w:val="both"/>
        <w:rPr>
          <w:lang w:val="fi-FI"/>
        </w:rPr>
      </w:pPr>
      <w:r>
        <w:rPr>
          <w:lang w:val="fi-FI"/>
        </w:rPr>
        <w:t>12.2.1.1.</w:t>
      </w:r>
      <w:r>
        <w:rPr>
          <w:lang w:val="fi-FI"/>
        </w:rPr>
        <w:tab/>
      </w:r>
      <w:r>
        <w:rPr>
          <w:lang w:val="fi-FI"/>
        </w:rPr>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w:t>
      </w:r>
      <w:r>
        <w:rPr>
          <w:color w:val="0563C1"/>
          <w:u w:val="single"/>
          <w:lang w:val="fi-FI"/>
        </w:rPr>
        <w:t>2014/55/ES</w:t>
      </w:r>
      <w:r>
        <w:rPr>
          <w:lang w:val="fi-FI"/>
        </w:rPr>
        <w:t xml:space="preserve"> (toliau – </w:t>
      </w:r>
      <w:r>
        <w:rPr>
          <w:b/>
          <w:lang w:val="fi-FI"/>
        </w:rPr>
        <w:t>Europos elektroninių sąskaitų faktūrų</w:t>
      </w:r>
      <w:r>
        <w:rPr>
          <w:lang w:val="fi-FI"/>
        </w:rPr>
        <w:t xml:space="preserve"> </w:t>
      </w:r>
      <w:r>
        <w:rPr>
          <w:b/>
          <w:lang w:val="fi-FI"/>
        </w:rPr>
        <w:t>standartas</w:t>
      </w:r>
      <w:r>
        <w:rPr>
          <w:lang w:val="fi-FI"/>
        </w:rPr>
        <w:t>), Tiekėjas gali pateikti per informacinę sistemą „E. sąskaita“ (</w:t>
      </w:r>
      <w:r>
        <w:rPr>
          <w:color w:val="0000FF"/>
          <w:u w:val="single"/>
          <w:lang w:val="fi-FI"/>
        </w:rPr>
        <w:t>www.esaskaita.eu</w:t>
      </w:r>
      <w:r>
        <w:rPr>
          <w:lang w:val="fi-FI"/>
        </w:rPr>
        <w:t>) arba per kitą savo pasirinktą informacinę sistemą;</w:t>
      </w:r>
    </w:p>
    <w:p w14:paraId="00000652">
      <w:pPr>
        <w:widowControl w:val="0"/>
        <w:tabs>
          <w:tab w:val="left" w:pos="567"/>
          <w:tab w:val="left" w:pos="851"/>
          <w:tab w:val="left" w:pos="992"/>
          <w:tab w:val="left" w:pos="1134"/>
        </w:tabs>
        <w:spacing w:line="259" w:lineRule="auto"/>
        <w:jc w:val="both"/>
        <w:rPr>
          <w:lang w:val="fi-FI"/>
        </w:rPr>
      </w:pPr>
      <w:r>
        <w:rPr>
          <w:lang w:val="fi-FI"/>
        </w:rPr>
        <w:t>12.2.1.2.</w:t>
      </w:r>
      <w:r>
        <w:rPr>
          <w:lang w:val="fi-FI"/>
        </w:rPr>
        <w:tab/>
      </w:r>
      <w:r>
        <w:rPr>
          <w:lang w:val="fi-FI"/>
        </w:rPr>
        <w:t>Europos elektroninių sąskaitų faktūrų standarto neatitinkančią elektroninę sąskaitą faktūrą Tiekėjas privalo pateikti, naudodamasis informacinės sistemos „E. sąskaita“ priemonėmis (</w:t>
      </w:r>
      <w:r>
        <w:rPr>
          <w:color w:val="0000FF"/>
          <w:u w:val="single"/>
          <w:lang w:val="fi-FI"/>
        </w:rPr>
        <w:t>www.esaskaita.eu</w:t>
      </w:r>
      <w:r>
        <w:rPr>
          <w:lang w:val="fi-FI"/>
        </w:rPr>
        <w:t>).</w:t>
      </w:r>
    </w:p>
    <w:p w14:paraId="00000653">
      <w:pPr>
        <w:widowControl w:val="0"/>
        <w:tabs>
          <w:tab w:val="left" w:pos="567"/>
          <w:tab w:val="left" w:pos="851"/>
          <w:tab w:val="left" w:pos="992"/>
          <w:tab w:val="left" w:pos="1134"/>
        </w:tabs>
        <w:spacing w:line="259" w:lineRule="auto"/>
        <w:jc w:val="both"/>
        <w:rPr>
          <w:lang w:val="fi-FI"/>
        </w:rPr>
      </w:pPr>
      <w:r>
        <w:rPr>
          <w:lang w:val="fi-FI"/>
        </w:rPr>
        <w:t>12.2.2.</w:t>
      </w:r>
      <w:r>
        <w:rPr>
          <w:lang w:val="fi-FI"/>
        </w:rPr>
        <w:tab/>
      </w:r>
      <w:r>
        <w:rPr>
          <w:lang w:val="fi-FI"/>
        </w:rPr>
        <w:t xml:space="preserve"> Pirkėjas elektronines sąskaitas faktūras priima ir apdoroja naudodamasis informacinės sistemos „E. sąskaita“ priemonėmis, išskyrus VPĮ nustatytus išimtinius atvejus.</w:t>
      </w:r>
    </w:p>
    <w:p w14:paraId="00000654">
      <w:pPr>
        <w:tabs>
          <w:tab w:val="left" w:pos="567"/>
          <w:tab w:val="left" w:pos="851"/>
          <w:tab w:val="left" w:pos="992"/>
          <w:tab w:val="left" w:pos="1134"/>
        </w:tabs>
        <w:spacing w:line="259" w:lineRule="auto"/>
        <w:jc w:val="both"/>
        <w:rPr>
          <w:lang w:val="fi-FI"/>
        </w:rPr>
      </w:pPr>
      <w:r>
        <w:rPr>
          <w:lang w:val="fi-FI"/>
        </w:rPr>
        <w:t>12.2.3.</w:t>
      </w:r>
      <w:r>
        <w:rPr>
          <w:lang w:val="fi-FI"/>
        </w:rPr>
        <w:tab/>
      </w:r>
      <w:r>
        <w:rPr>
          <w:lang w:val="fi-FI"/>
        </w:rPr>
        <w:t>Išankstinio mokėjimo sąskaitas (jeigu Specialiosiose sąlygose yra numatytas avanso mokėjimas) Tiekėjas privalo pateikti šiame Sutarties poskyryje nustatyta tvarka.</w:t>
      </w:r>
    </w:p>
    <w:p w14:paraId="00000655">
      <w:pPr>
        <w:widowControl w:val="0"/>
        <w:tabs>
          <w:tab w:val="left" w:pos="567"/>
          <w:tab w:val="left" w:pos="851"/>
          <w:tab w:val="left" w:pos="992"/>
          <w:tab w:val="left" w:pos="1134"/>
        </w:tabs>
        <w:spacing w:line="259" w:lineRule="auto"/>
        <w:jc w:val="both"/>
        <w:rPr>
          <w:lang w:val="fi-FI"/>
        </w:rPr>
      </w:pPr>
      <w:r>
        <w:rPr>
          <w:lang w:val="fi-FI"/>
        </w:rPr>
        <w:t>12.2.4.</w:t>
      </w:r>
      <w:r>
        <w:rPr>
          <w:lang w:val="fi-FI"/>
        </w:rPr>
        <w:tab/>
      </w:r>
      <w:r>
        <w:rPr>
          <w:lang w:val="fi-FI"/>
        </w:rPr>
        <w:t>Pirkėjas atlieka mokėjimus už Prekes Specialiosiose sąlygose nustatytais terminais.</w:t>
      </w:r>
    </w:p>
    <w:p w14:paraId="00000656">
      <w:pPr>
        <w:widowControl w:val="0"/>
        <w:tabs>
          <w:tab w:val="left" w:pos="567"/>
          <w:tab w:val="left" w:pos="851"/>
          <w:tab w:val="left" w:pos="992"/>
          <w:tab w:val="left" w:pos="1134"/>
        </w:tabs>
        <w:spacing w:line="259" w:lineRule="auto"/>
        <w:jc w:val="both"/>
        <w:rPr>
          <w:lang w:val="fi-FI"/>
        </w:rPr>
      </w:pPr>
      <w:r>
        <w:rPr>
          <w:lang w:val="fi-FI"/>
        </w:rPr>
        <w:t>12.2.5.</w:t>
      </w:r>
      <w:r>
        <w:rPr>
          <w:lang w:val="fi-FI"/>
        </w:rPr>
        <w:tab/>
      </w:r>
      <w:r>
        <w:rPr>
          <w:lang w:val="fi-FI"/>
        </w:rPr>
        <w:t>Už mokėjimų pagal Sutartį vėlavimus, Pirkėjui taikomos netesybos Specialiosiose sąlygose nustatyta tvarka.</w:t>
      </w:r>
    </w:p>
    <w:p w14:paraId="00000657">
      <w:pPr>
        <w:widowControl w:val="0"/>
        <w:tabs>
          <w:tab w:val="left" w:pos="567"/>
          <w:tab w:val="left" w:pos="851"/>
          <w:tab w:val="left" w:pos="992"/>
          <w:tab w:val="left" w:pos="1134"/>
        </w:tabs>
        <w:spacing w:line="259" w:lineRule="auto"/>
        <w:jc w:val="both"/>
        <w:rPr>
          <w:lang w:val="fi-FI"/>
        </w:rPr>
      </w:pPr>
      <w:r>
        <w:rPr>
          <w:lang w:val="fi-FI"/>
        </w:rPr>
        <w:t>12.2.6.</w:t>
      </w:r>
      <w:r>
        <w:rPr>
          <w:lang w:val="fi-FI"/>
        </w:rPr>
        <w:tab/>
      </w:r>
      <w:r>
        <w:rPr>
          <w:lang w:val="fi-FI"/>
        </w:rPr>
        <w:t>Jei Prekės pristatomos dalimis, aukščiau nurodyta atsiskaitymo tvarka galioja kiekvienai tokiai daliai, jei Specialiosiose sąlygose nenustatyta kitaip.</w:t>
      </w:r>
    </w:p>
    <w:p w14:paraId="00000658">
      <w:pPr>
        <w:widowControl w:val="0"/>
        <w:tabs>
          <w:tab w:val="left" w:pos="567"/>
          <w:tab w:val="left" w:pos="709"/>
          <w:tab w:val="left" w:pos="851"/>
          <w:tab w:val="left" w:pos="992"/>
          <w:tab w:val="left" w:pos="1134"/>
        </w:tabs>
        <w:spacing w:line="259" w:lineRule="auto"/>
        <w:jc w:val="both"/>
        <w:rPr>
          <w:lang w:val="fi-FI"/>
        </w:rPr>
      </w:pPr>
      <w:r>
        <w:rPr>
          <w:lang w:val="fi-FI"/>
        </w:rPr>
        <w:t>12.2.7.</w:t>
      </w:r>
      <w:r>
        <w:rPr>
          <w:lang w:val="fi-FI"/>
        </w:rPr>
        <w:tab/>
      </w:r>
      <w:r>
        <w:rPr>
          <w:lang w:val="fi-FI"/>
        </w:rPr>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0000659">
      <w:pPr>
        <w:widowControl w:val="0"/>
        <w:tabs>
          <w:tab w:val="left" w:pos="567"/>
          <w:tab w:val="left" w:pos="851"/>
          <w:tab w:val="left" w:pos="992"/>
          <w:tab w:val="left" w:pos="1134"/>
        </w:tabs>
        <w:spacing w:line="259" w:lineRule="auto"/>
        <w:jc w:val="both"/>
        <w:rPr>
          <w:lang w:val="fi-FI"/>
        </w:rPr>
      </w:pPr>
    </w:p>
    <w:p w14:paraId="0000065A">
      <w:pPr>
        <w:keepNext/>
        <w:keepLines/>
        <w:widowControl w:val="0"/>
        <w:tabs>
          <w:tab w:val="left" w:pos="567"/>
          <w:tab w:val="left" w:pos="851"/>
          <w:tab w:val="left" w:pos="992"/>
          <w:tab w:val="left" w:pos="1134"/>
        </w:tabs>
        <w:spacing w:line="259" w:lineRule="auto"/>
        <w:jc w:val="center"/>
        <w:rPr>
          <w:b/>
          <w:lang w:val="fi-FI"/>
        </w:rPr>
      </w:pPr>
      <w:r>
        <w:rPr>
          <w:b/>
          <w:lang w:val="fi-FI"/>
        </w:rPr>
        <w:t>12.3.</w:t>
      </w:r>
      <w:r>
        <w:rPr>
          <w:b/>
          <w:lang w:val="fi-FI"/>
        </w:rPr>
        <w:tab/>
      </w:r>
      <w:r>
        <w:rPr>
          <w:b/>
          <w:lang w:val="fi-FI"/>
        </w:rPr>
        <w:t>Kiti atsiskaitymo klausimai</w:t>
      </w:r>
    </w:p>
    <w:p w14:paraId="0000065B">
      <w:pPr>
        <w:keepNext/>
        <w:keepLines/>
        <w:widowControl w:val="0"/>
        <w:tabs>
          <w:tab w:val="left" w:pos="567"/>
          <w:tab w:val="left" w:pos="851"/>
          <w:tab w:val="left" w:pos="992"/>
          <w:tab w:val="left" w:pos="1134"/>
        </w:tabs>
        <w:spacing w:line="259" w:lineRule="auto"/>
        <w:jc w:val="both"/>
        <w:rPr>
          <w:b/>
          <w:lang w:val="fi-FI"/>
        </w:rPr>
      </w:pPr>
    </w:p>
    <w:p w14:paraId="0000065C">
      <w:pPr>
        <w:widowControl w:val="0"/>
        <w:tabs>
          <w:tab w:val="left" w:pos="567"/>
          <w:tab w:val="left" w:pos="851"/>
          <w:tab w:val="left" w:pos="992"/>
          <w:tab w:val="left" w:pos="1134"/>
        </w:tabs>
        <w:spacing w:line="259" w:lineRule="auto"/>
        <w:jc w:val="both"/>
        <w:rPr>
          <w:lang w:val="fi-FI"/>
        </w:rPr>
      </w:pPr>
      <w:r>
        <w:rPr>
          <w:lang w:val="fi-FI"/>
        </w:rPr>
        <w:t>12.3.1.</w:t>
      </w:r>
      <w:r>
        <w:rPr>
          <w:lang w:val="fi-FI"/>
        </w:rPr>
        <w:tab/>
      </w:r>
      <w:r>
        <w:rPr>
          <w:lang w:val="fi-FI"/>
        </w:rPr>
        <w:t>Pirkėjas privalo pervesti mokėjimus Tiekėjui į Tiekėjo banko sąskaitą, nurodytą Specialiosiose sąlygose.</w:t>
      </w:r>
    </w:p>
    <w:p w14:paraId="0000065D">
      <w:pPr>
        <w:widowControl w:val="0"/>
        <w:tabs>
          <w:tab w:val="left" w:pos="567"/>
          <w:tab w:val="left" w:pos="851"/>
          <w:tab w:val="left" w:pos="992"/>
          <w:tab w:val="left" w:pos="1134"/>
        </w:tabs>
        <w:spacing w:line="259" w:lineRule="auto"/>
        <w:jc w:val="both"/>
        <w:rPr>
          <w:lang w:val="fi-FI"/>
        </w:rPr>
      </w:pPr>
      <w:r>
        <w:rPr>
          <w:lang w:val="fi-FI"/>
        </w:rPr>
        <w:t>12.3.2.</w:t>
      </w:r>
      <w:r>
        <w:rPr>
          <w:lang w:val="fi-FI"/>
        </w:rPr>
        <w:tab/>
      </w:r>
      <w:r>
        <w:rPr>
          <w:lang w:val="fi-FI"/>
        </w:rPr>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0000065E">
      <w:pPr>
        <w:widowControl w:val="0"/>
        <w:tabs>
          <w:tab w:val="left" w:pos="567"/>
          <w:tab w:val="left" w:pos="851"/>
          <w:tab w:val="left" w:pos="992"/>
          <w:tab w:val="left" w:pos="1134"/>
        </w:tabs>
        <w:spacing w:line="259" w:lineRule="auto"/>
        <w:jc w:val="both"/>
        <w:rPr>
          <w:lang w:val="fi-FI"/>
        </w:rPr>
      </w:pPr>
      <w:r>
        <w:rPr>
          <w:lang w:val="fi-FI"/>
        </w:rPr>
        <w:t>12.3.3.</w:t>
      </w:r>
      <w:r>
        <w:rPr>
          <w:lang w:val="fi-FI"/>
        </w:rPr>
        <w:tab/>
      </w:r>
      <w:r>
        <w:rPr>
          <w:lang w:val="fi-FI"/>
        </w:rPr>
        <w:t>Visi mokėjimai pagal Sutartį atliekami eurais.</w:t>
      </w:r>
    </w:p>
    <w:p w14:paraId="0000065F">
      <w:pPr>
        <w:widowControl w:val="0"/>
        <w:tabs>
          <w:tab w:val="left" w:pos="567"/>
          <w:tab w:val="left" w:pos="851"/>
          <w:tab w:val="left" w:pos="992"/>
          <w:tab w:val="left" w:pos="1134"/>
        </w:tabs>
        <w:spacing w:line="259" w:lineRule="auto"/>
        <w:jc w:val="both"/>
        <w:rPr>
          <w:lang w:val="fi-FI"/>
        </w:rPr>
      </w:pPr>
      <w:r>
        <w:rPr>
          <w:lang w:val="fi-FI"/>
        </w:rPr>
        <w:t>12.3.4.</w:t>
      </w:r>
      <w:r>
        <w:rPr>
          <w:lang w:val="fi-FI"/>
        </w:rPr>
        <w:tab/>
      </w:r>
      <w:r>
        <w:rPr>
          <w:lang w:val="fi-FI"/>
        </w:rPr>
        <w:t>Už pavėluotus mokėjimus pagal Sutartį mokančioji Šalis privalo sumokėti kitai Šaliai Specialiosiose sąlygose nurodyto dydžio netesybas.</w:t>
      </w:r>
    </w:p>
    <w:p w14:paraId="00000660">
      <w:pPr>
        <w:widowControl w:val="0"/>
        <w:tabs>
          <w:tab w:val="left" w:pos="567"/>
          <w:tab w:val="left" w:pos="851"/>
          <w:tab w:val="left" w:pos="992"/>
          <w:tab w:val="left" w:pos="1134"/>
        </w:tabs>
        <w:spacing w:line="259" w:lineRule="auto"/>
        <w:jc w:val="both"/>
        <w:rPr>
          <w:lang w:val="fi-FI"/>
        </w:rPr>
      </w:pPr>
    </w:p>
    <w:p w14:paraId="00000661">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13.</w:t>
      </w:r>
      <w:r>
        <w:rPr>
          <w:b/>
          <w:smallCaps/>
          <w:lang w:val="fi-FI"/>
        </w:rPr>
        <w:tab/>
      </w:r>
      <w:r>
        <w:rPr>
          <w:b/>
          <w:smallCaps/>
          <w:lang w:val="fi-FI"/>
        </w:rPr>
        <w:t>KONFIDENCIALI INFORMACIJA</w:t>
      </w:r>
    </w:p>
    <w:p w14:paraId="00000662">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63">
      <w:pPr>
        <w:widowControl w:val="0"/>
        <w:tabs>
          <w:tab w:val="left" w:pos="567"/>
          <w:tab w:val="left" w:pos="851"/>
          <w:tab w:val="left" w:pos="992"/>
          <w:tab w:val="left" w:pos="1134"/>
        </w:tabs>
        <w:spacing w:line="259" w:lineRule="auto"/>
        <w:jc w:val="both"/>
        <w:rPr>
          <w:lang w:val="fi-FI"/>
        </w:rPr>
      </w:pPr>
      <w:r>
        <w:rPr>
          <w:lang w:val="fi-FI"/>
        </w:rPr>
        <w:t>13.1.</w:t>
      </w:r>
      <w:r>
        <w:rPr>
          <w:lang w:val="fi-FI"/>
        </w:rPr>
        <w:tab/>
      </w:r>
      <w:r>
        <w:rPr>
          <w:lang w:val="fi-FI"/>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0000664">
      <w:pPr>
        <w:widowControl w:val="0"/>
        <w:tabs>
          <w:tab w:val="left" w:pos="567"/>
          <w:tab w:val="left" w:pos="851"/>
          <w:tab w:val="left" w:pos="992"/>
          <w:tab w:val="left" w:pos="1134"/>
        </w:tabs>
        <w:spacing w:line="259" w:lineRule="auto"/>
        <w:jc w:val="both"/>
        <w:rPr>
          <w:lang w:val="fi-FI"/>
        </w:rPr>
      </w:pPr>
      <w:r>
        <w:rPr>
          <w:lang w:val="fi-FI"/>
        </w:rPr>
        <w:t>13.2.</w:t>
      </w:r>
      <w:r>
        <w:rPr>
          <w:lang w:val="fi-FI"/>
        </w:rPr>
        <w:tab/>
      </w:r>
      <w:r>
        <w:rPr>
          <w:lang w:val="fi-FI"/>
        </w:rPr>
        <w:t>Šalis turi teisę atskleisti kitos Šalies konfidencialią informaciją šiais atvejais:</w:t>
      </w:r>
    </w:p>
    <w:p w14:paraId="00000665">
      <w:pPr>
        <w:widowControl w:val="0"/>
        <w:tabs>
          <w:tab w:val="left" w:pos="567"/>
          <w:tab w:val="left" w:pos="851"/>
          <w:tab w:val="left" w:pos="992"/>
          <w:tab w:val="left" w:pos="1134"/>
        </w:tabs>
        <w:spacing w:line="259" w:lineRule="auto"/>
        <w:jc w:val="both"/>
        <w:rPr>
          <w:lang w:val="fi-FI"/>
        </w:rPr>
      </w:pPr>
      <w:r>
        <w:rPr>
          <w:lang w:val="fi-FI"/>
        </w:rPr>
        <w:t>13.2.1.</w:t>
      </w:r>
      <w:r>
        <w:rPr>
          <w:lang w:val="fi-FI"/>
        </w:rPr>
        <w:tab/>
      </w:r>
      <w:r>
        <w:rPr>
          <w:lang w:val="fi-FI"/>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0000666">
      <w:pPr>
        <w:widowControl w:val="0"/>
        <w:tabs>
          <w:tab w:val="left" w:pos="567"/>
          <w:tab w:val="left" w:pos="851"/>
          <w:tab w:val="left" w:pos="992"/>
          <w:tab w:val="left" w:pos="1134"/>
        </w:tabs>
        <w:spacing w:line="259" w:lineRule="auto"/>
        <w:jc w:val="both"/>
        <w:rPr>
          <w:lang w:val="fi-FI"/>
        </w:rPr>
      </w:pPr>
      <w:r>
        <w:rPr>
          <w:lang w:val="fi-FI"/>
        </w:rPr>
        <w:t>13.2.2.</w:t>
      </w:r>
      <w:r>
        <w:rPr>
          <w:lang w:val="fi-FI"/>
        </w:rPr>
        <w:tab/>
      </w:r>
      <w:r>
        <w:rPr>
          <w:lang w:val="fi-FI"/>
        </w:rPr>
        <w:t xml:space="preserve">konfidencialią informaciją yra būtina atskleisti pagal įstatymų bei kitų teisės aktų reikalavimus, įskaitant atvejus, kai to reikalauja viešojo administravimo subjektai, taip, kai jie apibrėžti Lietuvos Respublikos viešojo administravimo įstatyme. </w:t>
      </w:r>
    </w:p>
    <w:p w14:paraId="00000667">
      <w:pPr>
        <w:widowControl w:val="0"/>
        <w:tabs>
          <w:tab w:val="left" w:pos="567"/>
          <w:tab w:val="left" w:pos="851"/>
          <w:tab w:val="left" w:pos="992"/>
          <w:tab w:val="left" w:pos="1134"/>
        </w:tabs>
        <w:spacing w:line="259" w:lineRule="auto"/>
        <w:jc w:val="both"/>
        <w:rPr>
          <w:lang w:val="fi-FI"/>
        </w:rPr>
      </w:pPr>
      <w:r>
        <w:rPr>
          <w:lang w:val="fi-FI"/>
        </w:rPr>
        <w:t>13.3.</w:t>
      </w:r>
      <w:r>
        <w:rPr>
          <w:lang w:val="fi-FI"/>
        </w:rPr>
        <w:tab/>
      </w:r>
      <w:r>
        <w:rPr>
          <w:lang w:val="fi-FI"/>
        </w:rPr>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0000668">
      <w:pPr>
        <w:widowControl w:val="0"/>
        <w:tabs>
          <w:tab w:val="left" w:pos="567"/>
          <w:tab w:val="left" w:pos="851"/>
          <w:tab w:val="left" w:pos="992"/>
          <w:tab w:val="left" w:pos="1134"/>
        </w:tabs>
        <w:spacing w:line="259" w:lineRule="auto"/>
        <w:jc w:val="both"/>
        <w:rPr>
          <w:lang w:val="fi-FI"/>
        </w:rPr>
      </w:pPr>
      <w:r>
        <w:rPr>
          <w:lang w:val="fi-FI"/>
        </w:rPr>
        <w:t>13.4.</w:t>
      </w:r>
      <w:r>
        <w:rPr>
          <w:lang w:val="fi-FI"/>
        </w:rPr>
        <w:tab/>
      </w:r>
      <w:r>
        <w:rPr>
          <w:lang w:val="fi-FI"/>
        </w:rPr>
        <w:t>Šalis atsako:</w:t>
      </w:r>
    </w:p>
    <w:p w14:paraId="00000669">
      <w:pPr>
        <w:widowControl w:val="0"/>
        <w:tabs>
          <w:tab w:val="left" w:pos="567"/>
          <w:tab w:val="left" w:pos="851"/>
          <w:tab w:val="left" w:pos="992"/>
          <w:tab w:val="left" w:pos="1134"/>
        </w:tabs>
        <w:spacing w:line="259" w:lineRule="auto"/>
        <w:jc w:val="both"/>
        <w:rPr>
          <w:lang w:val="fi-FI"/>
        </w:rPr>
      </w:pPr>
      <w:r>
        <w:rPr>
          <w:lang w:val="fi-FI"/>
        </w:rPr>
        <w:t>13.4.1.</w:t>
      </w:r>
      <w:r>
        <w:rPr>
          <w:lang w:val="fi-FI"/>
        </w:rPr>
        <w:tab/>
      </w:r>
      <w:r>
        <w:rPr>
          <w:lang w:val="fi-FI"/>
        </w:rPr>
        <w:t>už bet kokį neteisėtą, įskaitant atsitiktinį, kitos Šalies konfidencialios informacijos ar bet kurios jos dalies atskleidimą ar perdavimą arba konfidencialios informacijos neteisėtą naudojimą;</w:t>
      </w:r>
    </w:p>
    <w:p w14:paraId="0000066A">
      <w:pPr>
        <w:widowControl w:val="0"/>
        <w:tabs>
          <w:tab w:val="left" w:pos="567"/>
          <w:tab w:val="left" w:pos="851"/>
          <w:tab w:val="left" w:pos="992"/>
          <w:tab w:val="left" w:pos="1134"/>
        </w:tabs>
        <w:spacing w:line="259" w:lineRule="auto"/>
        <w:jc w:val="both"/>
        <w:rPr>
          <w:lang w:val="fi-FI"/>
        </w:rPr>
      </w:pPr>
      <w:r>
        <w:rPr>
          <w:lang w:val="fi-FI"/>
        </w:rPr>
        <w:t>13.4.2.</w:t>
      </w:r>
      <w:r>
        <w:rPr>
          <w:lang w:val="fi-FI"/>
        </w:rPr>
        <w:tab/>
      </w:r>
      <w:r>
        <w:rPr>
          <w:lang w:val="fi-FI"/>
        </w:rPr>
        <w:t>už tai, kad nesiėmė visų protingų veiksmų, kad išsaugotų ir apsaugotų kitos Šalies konfidencialią informaciją ar bet kurią jos dalį, užkirstų kelią tolesniam jos neteisėtam atskleidimui, perdavimui ar naudojimui.</w:t>
      </w:r>
    </w:p>
    <w:p w14:paraId="0000066B">
      <w:pPr>
        <w:widowControl w:val="0"/>
        <w:tabs>
          <w:tab w:val="left" w:pos="567"/>
          <w:tab w:val="left" w:pos="851"/>
          <w:tab w:val="left" w:pos="992"/>
          <w:tab w:val="left" w:pos="1134"/>
        </w:tabs>
        <w:spacing w:line="259" w:lineRule="auto"/>
        <w:jc w:val="both"/>
        <w:rPr>
          <w:lang w:val="fi-FI"/>
        </w:rPr>
      </w:pPr>
      <w:r>
        <w:rPr>
          <w:lang w:val="fi-FI"/>
        </w:rPr>
        <w:t>13.5.</w:t>
      </w:r>
      <w:r>
        <w:rPr>
          <w:lang w:val="fi-FI"/>
        </w:rPr>
        <w:tab/>
      </w:r>
      <w:r>
        <w:rPr>
          <w:lang w:val="fi-FI"/>
        </w:rPr>
        <w:t xml:space="preserve">Šalis nepagrįstai atskleidusi kitos Šalies konfidencialią informaciją privalo sumokėti kitai Šaliai Specialiosiose sąlygose nurodyto dydžio baudą. </w:t>
      </w:r>
    </w:p>
    <w:p w14:paraId="0000066C">
      <w:pPr>
        <w:widowControl w:val="0"/>
        <w:tabs>
          <w:tab w:val="left" w:pos="567"/>
          <w:tab w:val="left" w:pos="851"/>
          <w:tab w:val="left" w:pos="992"/>
          <w:tab w:val="left" w:pos="1134"/>
        </w:tabs>
        <w:spacing w:line="259" w:lineRule="auto"/>
        <w:jc w:val="both"/>
        <w:rPr>
          <w:lang w:val="fi-FI"/>
        </w:rPr>
      </w:pPr>
    </w:p>
    <w:p w14:paraId="0000066D">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14.</w:t>
      </w:r>
      <w:r>
        <w:rPr>
          <w:b/>
          <w:smallCaps/>
          <w:lang w:val="fi-FI"/>
        </w:rPr>
        <w:tab/>
      </w:r>
      <w:r>
        <w:rPr>
          <w:b/>
          <w:smallCaps/>
          <w:lang w:val="fi-FI"/>
        </w:rPr>
        <w:t>ASMENS DUOMENŲ APSAUGA</w:t>
      </w:r>
    </w:p>
    <w:p w14:paraId="0000066E">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6F">
      <w:pPr>
        <w:widowControl w:val="0"/>
        <w:tabs>
          <w:tab w:val="left" w:pos="567"/>
          <w:tab w:val="left" w:pos="851"/>
          <w:tab w:val="left" w:pos="992"/>
          <w:tab w:val="left" w:pos="1134"/>
        </w:tabs>
        <w:spacing w:line="259" w:lineRule="auto"/>
        <w:jc w:val="both"/>
        <w:rPr>
          <w:lang w:val="fi-FI"/>
        </w:rPr>
      </w:pPr>
      <w:r>
        <w:rPr>
          <w:lang w:val="fi-FI"/>
        </w:rPr>
        <w:t>14.1.</w:t>
      </w:r>
      <w:r>
        <w:rPr>
          <w:lang w:val="fi-FI"/>
        </w:rPr>
        <w:tab/>
      </w:r>
      <w:r>
        <w:rPr>
          <w:lang w:val="fi-FI"/>
        </w:rPr>
        <w:t xml:space="preserve">Šalys įsipareigoja užtikrinti asmens duomenų saugumą bei asmens duomenų tvarkymą vykdyti teisėtai, vadovaujantis 2016 m. balandžio 27 d. priimto Europos Parlamento ir Tarybos reglamento </w:t>
      </w:r>
      <w:r>
        <w:rPr>
          <w:color w:val="0563C1"/>
          <w:u w:val="single"/>
          <w:lang w:val="fi-FI"/>
        </w:rPr>
        <w:t>(ES) 2016/679</w:t>
      </w:r>
      <w:r>
        <w:rPr>
          <w:lang w:val="fi-FI"/>
        </w:rPr>
        <w:t xml:space="preserve"> dėl fizinių asmenų apsaugos tvarkant asmens duomenis ir dėl laisvo tokių duomenų judėjimo ir kuriuo panaikinama Direktyva </w:t>
      </w:r>
      <w:r>
        <w:rPr>
          <w:color w:val="0563C1"/>
          <w:u w:val="single"/>
          <w:lang w:val="fi-FI"/>
        </w:rPr>
        <w:t>95/46/EB</w:t>
      </w:r>
      <w:r>
        <w:rPr>
          <w:lang w:val="fi-FI"/>
        </w:rPr>
        <w:t xml:space="preserve"> (Bendrasis duomenų apsaugos reglamentas) ir kitų teisės aktų, reglamentuojančių asmens duomenų tvarkymą, nuostatomis.</w:t>
      </w:r>
    </w:p>
    <w:p w14:paraId="00000670">
      <w:pPr>
        <w:tabs>
          <w:tab w:val="left" w:pos="567"/>
          <w:tab w:val="left" w:pos="851"/>
          <w:tab w:val="left" w:pos="992"/>
          <w:tab w:val="left" w:pos="1134"/>
        </w:tabs>
        <w:spacing w:line="259" w:lineRule="auto"/>
        <w:jc w:val="both"/>
        <w:rPr>
          <w:lang w:val="fi-FI"/>
        </w:rPr>
      </w:pPr>
      <w:r>
        <w:rPr>
          <w:lang w:val="fi-FI"/>
        </w:rPr>
        <w:t>14.2.</w:t>
      </w:r>
      <w:r>
        <w:rPr>
          <w:lang w:val="fi-FI"/>
        </w:rPr>
        <w:tab/>
      </w:r>
      <w:r>
        <w:rPr>
          <w:lang w:val="fi-FI"/>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0000671">
      <w:pPr>
        <w:tabs>
          <w:tab w:val="left" w:pos="567"/>
          <w:tab w:val="left" w:pos="851"/>
          <w:tab w:val="left" w:pos="992"/>
          <w:tab w:val="left" w:pos="1134"/>
        </w:tabs>
        <w:spacing w:line="259" w:lineRule="auto"/>
        <w:ind w:left="360" w:firstLine="52"/>
        <w:jc w:val="both"/>
        <w:rPr>
          <w:lang w:val="fi-FI"/>
        </w:rPr>
      </w:pPr>
    </w:p>
    <w:p w14:paraId="00000672">
      <w:pPr>
        <w:keepNext/>
        <w:keepLines/>
        <w:widowControl w:val="0"/>
        <w:tabs>
          <w:tab w:val="left" w:pos="426"/>
          <w:tab w:val="left" w:pos="567"/>
          <w:tab w:val="left" w:pos="851"/>
          <w:tab w:val="left" w:pos="992"/>
          <w:tab w:val="left" w:pos="1134"/>
        </w:tabs>
        <w:spacing w:line="259" w:lineRule="auto"/>
        <w:jc w:val="center"/>
        <w:rPr>
          <w:smallCaps/>
          <w:color w:val="000000"/>
          <w:lang w:val="fi-FI"/>
        </w:rPr>
      </w:pPr>
      <w:r>
        <w:rPr>
          <w:b/>
          <w:smallCaps/>
          <w:color w:val="000000"/>
          <w:lang w:val="fi-FI"/>
        </w:rPr>
        <w:t>15.</w:t>
      </w:r>
      <w:r>
        <w:rPr>
          <w:b/>
          <w:smallCaps/>
          <w:color w:val="000000"/>
          <w:lang w:val="fi-FI"/>
        </w:rPr>
        <w:tab/>
      </w:r>
      <w:r>
        <w:rPr>
          <w:b/>
          <w:smallCaps/>
          <w:lang w:val="fi-FI"/>
        </w:rPr>
        <w:t>INTELEKTINĖ NUOSAVYBĖ</w:t>
      </w:r>
    </w:p>
    <w:p w14:paraId="00000673">
      <w:pPr>
        <w:keepNext/>
        <w:keepLines/>
        <w:widowControl w:val="0"/>
        <w:tabs>
          <w:tab w:val="left" w:pos="426"/>
          <w:tab w:val="left" w:pos="567"/>
          <w:tab w:val="left" w:pos="851"/>
          <w:tab w:val="left" w:pos="992"/>
          <w:tab w:val="left" w:pos="1134"/>
        </w:tabs>
        <w:spacing w:line="259" w:lineRule="auto"/>
        <w:jc w:val="both"/>
        <w:rPr>
          <w:smallCaps/>
          <w:color w:val="000000"/>
          <w:lang w:val="fi-FI"/>
        </w:rPr>
      </w:pPr>
    </w:p>
    <w:p w14:paraId="00000674">
      <w:pPr>
        <w:tabs>
          <w:tab w:val="left" w:pos="567"/>
        </w:tabs>
        <w:spacing w:line="259" w:lineRule="auto"/>
        <w:jc w:val="both"/>
        <w:rPr>
          <w:lang w:val="fi-FI"/>
        </w:rPr>
      </w:pPr>
      <w:r>
        <w:rPr>
          <w:lang w:val="fi-FI"/>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0000675">
      <w:pPr>
        <w:tabs>
          <w:tab w:val="left" w:pos="567"/>
        </w:tabs>
        <w:spacing w:line="259" w:lineRule="auto"/>
        <w:jc w:val="both"/>
        <w:rPr>
          <w:lang w:val="fi-FI"/>
        </w:rPr>
      </w:pPr>
      <w:r>
        <w:rPr>
          <w:lang w:val="fi-FI"/>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0000676">
      <w:pPr>
        <w:tabs>
          <w:tab w:val="left" w:pos="567"/>
        </w:tabs>
        <w:spacing w:line="259" w:lineRule="auto"/>
        <w:jc w:val="both"/>
        <w:rPr>
          <w:lang w:val="fi-FI"/>
        </w:rPr>
      </w:pPr>
      <w:r>
        <w:rPr>
          <w:lang w:val="fi-FI"/>
        </w:rPr>
        <w:t>15.3. Tiekėjas neturi teisės be išankstinio rašytinio Pirkėjo sutikimo naudoti Pirkėjo simbolių, pavadinimo ir ženklo reklamoje, rinkodaroje, taip pat naudotis Pirkėjo sukurtais intelektiniais veiklos rezultatais. Pažeidus reikalavimą, Tiekėjui taikoma 1 (vieno) procento bauda nuo Sutarties kainos be PVM.</w:t>
      </w:r>
    </w:p>
    <w:p w14:paraId="00000677">
      <w:pPr>
        <w:tabs>
          <w:tab w:val="left" w:pos="567"/>
        </w:tabs>
        <w:spacing w:line="259" w:lineRule="auto"/>
        <w:jc w:val="both"/>
        <w:rPr>
          <w:lang w:val="fi-FI"/>
        </w:rPr>
      </w:pPr>
    </w:p>
    <w:p w14:paraId="00000678">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16.</w:t>
      </w:r>
      <w:r>
        <w:rPr>
          <w:b/>
          <w:smallCaps/>
          <w:lang w:val="fi-FI"/>
        </w:rPr>
        <w:tab/>
      </w:r>
      <w:r>
        <w:rPr>
          <w:b/>
          <w:smallCaps/>
          <w:lang w:val="fi-FI"/>
        </w:rPr>
        <w:t>PAREIŠKIMAI IR GARANTIJOS</w:t>
      </w:r>
    </w:p>
    <w:p w14:paraId="00000679">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7A">
      <w:pPr>
        <w:widowControl w:val="0"/>
        <w:tabs>
          <w:tab w:val="left" w:pos="567"/>
          <w:tab w:val="left" w:pos="851"/>
          <w:tab w:val="left" w:pos="992"/>
          <w:tab w:val="left" w:pos="1134"/>
        </w:tabs>
        <w:spacing w:line="259" w:lineRule="auto"/>
        <w:jc w:val="both"/>
        <w:rPr>
          <w:lang w:val="fi-FI"/>
        </w:rPr>
      </w:pPr>
      <w:r>
        <w:rPr>
          <w:lang w:val="fi-FI"/>
        </w:rPr>
        <w:t>16.1. Kiekviena iš Šalių pareiškia ir garantuoja kitai Šaliai, kad:</w:t>
      </w:r>
    </w:p>
    <w:p w14:paraId="0000067B">
      <w:pPr>
        <w:widowControl w:val="0"/>
        <w:tabs>
          <w:tab w:val="left" w:pos="567"/>
          <w:tab w:val="left" w:pos="851"/>
          <w:tab w:val="left" w:pos="992"/>
          <w:tab w:val="left" w:pos="1134"/>
        </w:tabs>
        <w:spacing w:line="259" w:lineRule="auto"/>
        <w:jc w:val="both"/>
        <w:rPr>
          <w:lang w:val="fi-FI"/>
        </w:rPr>
      </w:pPr>
      <w:r>
        <w:rPr>
          <w:lang w:val="fi-FI"/>
        </w:rPr>
        <w:t>16.1.1. yra teisėtai priimti ir galioja visi būtini sprendimai, gauti leidimai bei sutikimai, taip pat teisėtai atlikti ir galioja kiti teisiniai veiksmai, reikalingi Sutarties sudarymui, galiojimui ir vykdymui;</w:t>
      </w:r>
    </w:p>
    <w:p w14:paraId="0000067C">
      <w:pPr>
        <w:widowControl w:val="0"/>
        <w:tabs>
          <w:tab w:val="left" w:pos="567"/>
          <w:tab w:val="left" w:pos="851"/>
          <w:tab w:val="left" w:pos="992"/>
          <w:tab w:val="left" w:pos="1134"/>
        </w:tabs>
        <w:spacing w:line="259" w:lineRule="auto"/>
        <w:jc w:val="both"/>
        <w:rPr>
          <w:lang w:val="fi-FI"/>
        </w:rPr>
      </w:pPr>
      <w:r>
        <w:rPr>
          <w:lang w:val="fi-FI"/>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000067D">
      <w:pPr>
        <w:widowControl w:val="0"/>
        <w:tabs>
          <w:tab w:val="left" w:pos="567"/>
          <w:tab w:val="left" w:pos="851"/>
          <w:tab w:val="left" w:pos="992"/>
          <w:tab w:val="left" w:pos="1134"/>
        </w:tabs>
        <w:spacing w:line="259" w:lineRule="auto"/>
        <w:jc w:val="both"/>
        <w:rPr>
          <w:lang w:val="fi-FI"/>
        </w:rPr>
      </w:pPr>
      <w:r>
        <w:rPr>
          <w:lang w:val="fi-FI"/>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000067E">
      <w:pPr>
        <w:widowControl w:val="0"/>
        <w:tabs>
          <w:tab w:val="left" w:pos="567"/>
          <w:tab w:val="left" w:pos="851"/>
          <w:tab w:val="left" w:pos="992"/>
          <w:tab w:val="left" w:pos="1134"/>
        </w:tabs>
        <w:spacing w:line="259" w:lineRule="auto"/>
        <w:jc w:val="both"/>
        <w:rPr>
          <w:lang w:val="fi-FI"/>
        </w:rPr>
      </w:pPr>
      <w:r>
        <w:rPr>
          <w:lang w:val="fi-FI"/>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00067F">
      <w:pPr>
        <w:widowControl w:val="0"/>
        <w:tabs>
          <w:tab w:val="left" w:pos="567"/>
          <w:tab w:val="left" w:pos="851"/>
          <w:tab w:val="left" w:pos="992"/>
          <w:tab w:val="left" w:pos="1134"/>
        </w:tabs>
        <w:spacing w:line="259" w:lineRule="auto"/>
        <w:jc w:val="both"/>
        <w:rPr>
          <w:lang w:val="fi-FI"/>
        </w:rPr>
      </w:pPr>
      <w:r>
        <w:rPr>
          <w:lang w:val="fi-FI"/>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0000680">
      <w:pPr>
        <w:widowControl w:val="0"/>
        <w:tabs>
          <w:tab w:val="left" w:pos="567"/>
          <w:tab w:val="left" w:pos="851"/>
          <w:tab w:val="left" w:pos="992"/>
          <w:tab w:val="left" w:pos="1134"/>
        </w:tabs>
        <w:spacing w:line="259" w:lineRule="auto"/>
        <w:jc w:val="both"/>
        <w:rPr>
          <w:lang w:val="fi-FI"/>
        </w:rPr>
      </w:pPr>
      <w:r>
        <w:rPr>
          <w:lang w:val="fi-FI"/>
        </w:rPr>
        <w:t>16.1.6. visi Šalies pareiškimai ir garantijos yra išsamūs ir nepalieka nutylėtų jokių aplinkybių, kurios darytų šiuos pareiškimus ar garantijas neteisingais.</w:t>
      </w:r>
    </w:p>
    <w:p w14:paraId="00000681">
      <w:pPr>
        <w:widowControl w:val="0"/>
        <w:tabs>
          <w:tab w:val="left" w:pos="567"/>
          <w:tab w:val="left" w:pos="851"/>
          <w:tab w:val="left" w:pos="992"/>
          <w:tab w:val="left" w:pos="1134"/>
        </w:tabs>
        <w:spacing w:line="259" w:lineRule="auto"/>
        <w:jc w:val="both"/>
        <w:rPr>
          <w:lang w:val="fi-FI"/>
        </w:rPr>
      </w:pPr>
      <w:r>
        <w:rPr>
          <w:lang w:val="fi-FI"/>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0000682">
      <w:pPr>
        <w:widowControl w:val="0"/>
        <w:tabs>
          <w:tab w:val="left" w:pos="567"/>
          <w:tab w:val="left" w:pos="851"/>
          <w:tab w:val="left" w:pos="992"/>
          <w:tab w:val="left" w:pos="1134"/>
        </w:tabs>
        <w:spacing w:line="259" w:lineRule="auto"/>
        <w:jc w:val="both"/>
        <w:rPr>
          <w:color w:val="000000"/>
          <w:highlight w:val="white"/>
          <w:lang w:val="fi-FI"/>
        </w:rPr>
      </w:pPr>
      <w:r>
        <w:rPr>
          <w:color w:val="000000"/>
          <w:highlight w:val="white"/>
          <w:lang w:val="fi-FI"/>
        </w:rPr>
        <w:t xml:space="preserve">16.3. </w:t>
      </w:r>
      <w:r>
        <w:rPr>
          <w:lang w:val="fi-FI"/>
        </w:rPr>
        <w:t xml:space="preserve">Tiekėjas pareiškia, kad parduodamų Prekių disponavimo, valdymo ir naudojimosi teisės nėra apribotos </w:t>
      </w:r>
      <w:r>
        <w:rPr>
          <w:color w:val="000000"/>
          <w:highlight w:val="white"/>
          <w:lang w:val="fi-FI"/>
        </w:rPr>
        <w:t>ir jokie tretieji asmenys neturi pretenzijų į Sutartimi perduodamas Prekes (įkeitimai, areštai ar pan.).</w:t>
      </w:r>
    </w:p>
    <w:p w14:paraId="00000683">
      <w:pPr>
        <w:widowControl w:val="0"/>
        <w:tabs>
          <w:tab w:val="left" w:pos="567"/>
          <w:tab w:val="left" w:pos="851"/>
          <w:tab w:val="left" w:pos="992"/>
          <w:tab w:val="left" w:pos="1134"/>
        </w:tabs>
        <w:spacing w:line="259" w:lineRule="auto"/>
        <w:jc w:val="both"/>
        <w:rPr>
          <w:color w:val="000000"/>
          <w:lang w:val="fi-FI"/>
        </w:rPr>
      </w:pPr>
    </w:p>
    <w:p w14:paraId="00000684">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17.</w:t>
      </w:r>
      <w:r>
        <w:rPr>
          <w:b/>
          <w:smallCaps/>
          <w:lang w:val="fi-FI"/>
        </w:rPr>
        <w:tab/>
      </w:r>
      <w:r>
        <w:rPr>
          <w:b/>
          <w:smallCaps/>
          <w:lang w:val="fi-FI"/>
        </w:rPr>
        <w:t>BENDRIEJI ATSAKOMYBĖS KLAUSIMAI</w:t>
      </w:r>
    </w:p>
    <w:p w14:paraId="00000685">
      <w:pPr>
        <w:widowControl w:val="0"/>
        <w:tabs>
          <w:tab w:val="left" w:pos="567"/>
          <w:tab w:val="left" w:pos="851"/>
          <w:tab w:val="left" w:pos="992"/>
          <w:tab w:val="left" w:pos="1134"/>
        </w:tabs>
        <w:spacing w:line="259" w:lineRule="auto"/>
        <w:jc w:val="both"/>
        <w:rPr>
          <w:lang w:val="fi-FI"/>
        </w:rPr>
      </w:pPr>
    </w:p>
    <w:p w14:paraId="00000686">
      <w:pPr>
        <w:widowControl w:val="0"/>
        <w:tabs>
          <w:tab w:val="left" w:pos="567"/>
          <w:tab w:val="left" w:pos="851"/>
          <w:tab w:val="left" w:pos="992"/>
          <w:tab w:val="left" w:pos="1134"/>
        </w:tabs>
        <w:spacing w:line="259" w:lineRule="auto"/>
        <w:jc w:val="both"/>
        <w:rPr>
          <w:lang w:val="fi-FI"/>
        </w:rPr>
      </w:pPr>
      <w:r>
        <w:rPr>
          <w:lang w:val="fi-FI"/>
        </w:rPr>
        <w:t>17.1. Netesybų už vėlavimą ar pareigų pagal Sutartį pažeidimą sumokėjimas neatleidžia Šalies nuo Sutartyje numatytų jos pareigų vykdymo.</w:t>
      </w:r>
    </w:p>
    <w:p w14:paraId="00000687">
      <w:pPr>
        <w:widowControl w:val="0"/>
        <w:tabs>
          <w:tab w:val="left" w:pos="567"/>
          <w:tab w:val="left" w:pos="851"/>
          <w:tab w:val="left" w:pos="992"/>
          <w:tab w:val="left" w:pos="1134"/>
        </w:tabs>
        <w:spacing w:line="259" w:lineRule="auto"/>
        <w:jc w:val="both"/>
        <w:rPr>
          <w:lang w:val="fi-FI"/>
        </w:rPr>
      </w:pPr>
      <w:r>
        <w:rPr>
          <w:lang w:val="fi-FI"/>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w:t>
      </w:r>
      <w:r>
        <w:rPr>
          <w:color w:val="000000"/>
          <w:lang w:val="fi-FI"/>
        </w:rPr>
        <w:t>Šiame punkte numatytas atsakomybės ribojimas netaikomas, jei žala atsirado dėl konfidencialumo įsipareigojimų, asmens duomenų apsaugą reglamentuojančių teisės aktų ar intelektinės nuosavybės teisių pažeidimo.</w:t>
      </w:r>
    </w:p>
    <w:p w14:paraId="00000688">
      <w:pPr>
        <w:widowControl w:val="0"/>
        <w:tabs>
          <w:tab w:val="left" w:pos="567"/>
          <w:tab w:val="left" w:pos="851"/>
          <w:tab w:val="left" w:pos="992"/>
          <w:tab w:val="left" w:pos="1134"/>
        </w:tabs>
        <w:spacing w:line="259" w:lineRule="auto"/>
        <w:jc w:val="both"/>
        <w:rPr>
          <w:lang w:val="fi-FI"/>
        </w:rPr>
      </w:pPr>
      <w:r>
        <w:rPr>
          <w:lang w:val="fi-FI"/>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0000689">
      <w:pPr>
        <w:widowControl w:val="0"/>
        <w:tabs>
          <w:tab w:val="left" w:pos="567"/>
          <w:tab w:val="left" w:pos="851"/>
          <w:tab w:val="left" w:pos="992"/>
          <w:tab w:val="left" w:pos="1134"/>
        </w:tabs>
        <w:spacing w:line="259" w:lineRule="auto"/>
        <w:jc w:val="both"/>
        <w:rPr>
          <w:lang w:val="fi-FI"/>
        </w:rPr>
      </w:pPr>
      <w:r>
        <w:rPr>
          <w:lang w:val="fi-FI"/>
        </w:rPr>
        <w:t>17.4. Šioje Sutartyje numatytos teisių gynybos priemonės neapriboja Šalių teisės pasinaudoti kitomis teisėtomis teisių gynybos priemonėmis.</w:t>
      </w:r>
    </w:p>
    <w:p w14:paraId="0000068A">
      <w:pPr>
        <w:widowControl w:val="0"/>
        <w:tabs>
          <w:tab w:val="left" w:pos="567"/>
          <w:tab w:val="left" w:pos="851"/>
          <w:tab w:val="left" w:pos="992"/>
          <w:tab w:val="left" w:pos="1134"/>
        </w:tabs>
        <w:spacing w:line="259" w:lineRule="auto"/>
        <w:jc w:val="both"/>
        <w:rPr>
          <w:lang w:val="fi-FI"/>
        </w:rPr>
      </w:pPr>
      <w:r>
        <w:rPr>
          <w:lang w:val="fi-FI"/>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000068B">
      <w:pPr>
        <w:widowControl w:val="0"/>
        <w:tabs>
          <w:tab w:val="left" w:pos="567"/>
          <w:tab w:val="left" w:pos="851"/>
          <w:tab w:val="left" w:pos="992"/>
          <w:tab w:val="left" w:pos="1134"/>
        </w:tabs>
        <w:spacing w:line="259" w:lineRule="auto"/>
        <w:jc w:val="both"/>
        <w:rPr>
          <w:lang w:val="fi-FI"/>
        </w:rPr>
      </w:pPr>
      <w:r>
        <w:rPr>
          <w:lang w:val="fi-FI"/>
        </w:rPr>
        <w:t>17.6. Pasibaigus Sutarties galiojimui, Šalys neatleidžiamos nuo atsakomybės už Sutarties pažeidimą. Pasibaigus Sutarties galiojimui, Šalys nepraranda teisės reikalauti atlyginti dėl Sutarties nevykdymo patirtus nuostolius bei sumokėti netesybas.</w:t>
      </w:r>
    </w:p>
    <w:p w14:paraId="0000068C">
      <w:pPr>
        <w:widowControl w:val="0"/>
        <w:tabs>
          <w:tab w:val="left" w:pos="567"/>
          <w:tab w:val="left" w:pos="851"/>
          <w:tab w:val="left" w:pos="992"/>
          <w:tab w:val="left" w:pos="1134"/>
        </w:tabs>
        <w:spacing w:line="259" w:lineRule="auto"/>
        <w:ind w:firstLine="53"/>
        <w:jc w:val="both"/>
        <w:rPr>
          <w:lang w:val="fi-FI"/>
        </w:rPr>
      </w:pPr>
    </w:p>
    <w:p w14:paraId="0000068D">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18.</w:t>
      </w:r>
      <w:r>
        <w:rPr>
          <w:b/>
          <w:smallCaps/>
          <w:lang w:val="fi-FI"/>
        </w:rPr>
        <w:tab/>
      </w:r>
      <w:r>
        <w:rPr>
          <w:b/>
          <w:smallCaps/>
          <w:lang w:val="fi-FI"/>
        </w:rPr>
        <w:t>NENUGALIMA JĖGA (FORCE MAJEURE)</w:t>
      </w:r>
    </w:p>
    <w:p w14:paraId="0000068E">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8F">
      <w:pPr>
        <w:widowControl w:val="0"/>
        <w:tabs>
          <w:tab w:val="left" w:pos="567"/>
          <w:tab w:val="left" w:pos="851"/>
          <w:tab w:val="left" w:pos="992"/>
          <w:tab w:val="left" w:pos="1134"/>
        </w:tabs>
        <w:spacing w:line="259" w:lineRule="auto"/>
        <w:jc w:val="both"/>
        <w:rPr>
          <w:lang w:val="fi-FI"/>
        </w:rPr>
      </w:pPr>
      <w:r>
        <w:rPr>
          <w:lang w:val="fi-FI"/>
        </w:rPr>
        <w:t>18.1.</w:t>
      </w:r>
      <w:r>
        <w:rPr>
          <w:b/>
          <w:lang w:val="fi-FI"/>
        </w:rPr>
        <w:tab/>
      </w:r>
      <w:r>
        <w:rPr>
          <w:lang w:val="fi-FI"/>
        </w:rPr>
        <w:t>Atsakomybė pagal Sutartį netaikoma, taip pat Šalys gali būti visiškai ar iš dalies atleistos nuo civilinės atsakomybės šiais pagrindais:</w:t>
      </w:r>
    </w:p>
    <w:p w14:paraId="00000690">
      <w:pPr>
        <w:widowControl w:val="0"/>
        <w:tabs>
          <w:tab w:val="left" w:pos="567"/>
          <w:tab w:val="left" w:pos="851"/>
          <w:tab w:val="left" w:pos="992"/>
          <w:tab w:val="left" w:pos="1134"/>
        </w:tabs>
        <w:spacing w:line="259" w:lineRule="auto"/>
        <w:jc w:val="both"/>
        <w:rPr>
          <w:lang w:val="fi-FI"/>
        </w:rPr>
      </w:pPr>
      <w:r>
        <w:rPr>
          <w:lang w:val="fi-FI"/>
        </w:rPr>
        <w:t>18.1.1.</w:t>
      </w:r>
      <w:r>
        <w:rPr>
          <w:lang w:val="fi-FI"/>
        </w:rPr>
        <w:tab/>
      </w:r>
      <w:r>
        <w:rPr>
          <w:lang w:val="fi-FI"/>
        </w:rPr>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0000691">
      <w:pPr>
        <w:widowControl w:val="0"/>
        <w:tabs>
          <w:tab w:val="left" w:pos="567"/>
          <w:tab w:val="left" w:pos="851"/>
          <w:tab w:val="left" w:pos="992"/>
          <w:tab w:val="left" w:pos="1134"/>
        </w:tabs>
        <w:spacing w:line="259" w:lineRule="auto"/>
        <w:jc w:val="both"/>
        <w:rPr>
          <w:lang w:val="fi-FI"/>
        </w:rPr>
      </w:pPr>
      <w:r>
        <w:rPr>
          <w:lang w:val="fi-FI"/>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0000692">
      <w:pPr>
        <w:widowControl w:val="0"/>
        <w:tabs>
          <w:tab w:val="left" w:pos="567"/>
          <w:tab w:val="left" w:pos="851"/>
          <w:tab w:val="left" w:pos="992"/>
          <w:tab w:val="left" w:pos="1134"/>
        </w:tabs>
        <w:spacing w:line="259" w:lineRule="auto"/>
        <w:jc w:val="both"/>
        <w:rPr>
          <w:lang w:val="fi-FI"/>
        </w:rPr>
      </w:pPr>
      <w:r>
        <w:rPr>
          <w:lang w:val="fi-FI"/>
        </w:rPr>
        <w:t>18.2.</w:t>
      </w:r>
      <w:r>
        <w:rPr>
          <w:b/>
          <w:lang w:val="fi-FI"/>
        </w:rPr>
        <w:tab/>
      </w:r>
      <w:r>
        <w:rPr>
          <w:lang w:val="fi-FI"/>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0000693">
      <w:pPr>
        <w:widowControl w:val="0"/>
        <w:tabs>
          <w:tab w:val="left" w:pos="567"/>
          <w:tab w:val="left" w:pos="709"/>
          <w:tab w:val="left" w:pos="851"/>
          <w:tab w:val="left" w:pos="992"/>
          <w:tab w:val="left" w:pos="1134"/>
        </w:tabs>
        <w:spacing w:line="259" w:lineRule="auto"/>
        <w:jc w:val="both"/>
        <w:rPr>
          <w:lang w:val="fi-FI"/>
        </w:rPr>
      </w:pPr>
      <w:r>
        <w:rPr>
          <w:lang w:val="fi-FI"/>
        </w:rPr>
        <w:t>18.3.</w:t>
      </w:r>
      <w:r>
        <w:rPr>
          <w:b/>
          <w:lang w:val="fi-FI"/>
        </w:rPr>
        <w:tab/>
      </w:r>
      <w:r>
        <w:rPr>
          <w:lang w:val="fi-FI"/>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0000694">
      <w:pPr>
        <w:widowControl w:val="0"/>
        <w:tabs>
          <w:tab w:val="left" w:pos="567"/>
          <w:tab w:val="left" w:pos="851"/>
          <w:tab w:val="left" w:pos="992"/>
          <w:tab w:val="left" w:pos="1134"/>
        </w:tabs>
        <w:spacing w:line="259" w:lineRule="auto"/>
        <w:jc w:val="both"/>
        <w:rPr>
          <w:lang w:val="fi-FI"/>
        </w:rPr>
      </w:pPr>
      <w:r>
        <w:rPr>
          <w:lang w:val="fi-FI"/>
        </w:rPr>
        <w:t>18.4.</w:t>
      </w:r>
      <w:r>
        <w:rPr>
          <w:lang w:val="fi-FI"/>
        </w:rPr>
        <w:tab/>
      </w:r>
      <w:r>
        <w:rPr>
          <w:lang w:val="fi-FI"/>
        </w:rPr>
        <w:t xml:space="preserve">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 </w:t>
      </w:r>
    </w:p>
    <w:p w14:paraId="00000695">
      <w:pPr>
        <w:widowControl w:val="0"/>
        <w:tabs>
          <w:tab w:val="left" w:pos="567"/>
          <w:tab w:val="left" w:pos="851"/>
          <w:tab w:val="left" w:pos="992"/>
          <w:tab w:val="left" w:pos="1134"/>
        </w:tabs>
        <w:spacing w:line="259" w:lineRule="auto"/>
        <w:jc w:val="both"/>
        <w:rPr>
          <w:lang w:val="fi-FI"/>
        </w:rPr>
      </w:pPr>
    </w:p>
    <w:p w14:paraId="00000696">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19.</w:t>
      </w:r>
      <w:r>
        <w:rPr>
          <w:b/>
          <w:smallCaps/>
          <w:lang w:val="fi-FI"/>
        </w:rPr>
        <w:tab/>
      </w:r>
      <w:r>
        <w:rPr>
          <w:b/>
          <w:smallCaps/>
          <w:lang w:val="fi-FI"/>
        </w:rPr>
        <w:t>SUTARTIES NUOSTATŲ NEGALIOJIMAS</w:t>
      </w:r>
    </w:p>
    <w:p w14:paraId="00000697">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98">
      <w:pPr>
        <w:widowControl w:val="0"/>
        <w:tabs>
          <w:tab w:val="left" w:pos="567"/>
          <w:tab w:val="left" w:pos="851"/>
          <w:tab w:val="left" w:pos="992"/>
          <w:tab w:val="left" w:pos="1134"/>
        </w:tabs>
        <w:spacing w:line="259" w:lineRule="auto"/>
        <w:jc w:val="both"/>
        <w:rPr>
          <w:lang w:val="fi-FI"/>
        </w:rPr>
      </w:pPr>
      <w:r>
        <w:rPr>
          <w:lang w:val="fi-FI"/>
        </w:rPr>
        <w:t>19.1.</w:t>
      </w:r>
      <w:r>
        <w:rPr>
          <w:lang w:val="fi-FI"/>
        </w:rPr>
        <w:tab/>
      </w:r>
      <w:r>
        <w:rPr>
          <w:lang w:val="fi-FI"/>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0000699">
      <w:pPr>
        <w:widowControl w:val="0"/>
        <w:tabs>
          <w:tab w:val="left" w:pos="567"/>
          <w:tab w:val="left" w:pos="851"/>
          <w:tab w:val="left" w:pos="992"/>
          <w:tab w:val="left" w:pos="1134"/>
        </w:tabs>
        <w:spacing w:line="259" w:lineRule="auto"/>
        <w:jc w:val="both"/>
        <w:rPr>
          <w:lang w:val="fi-FI"/>
        </w:rPr>
      </w:pPr>
      <w:r>
        <w:rPr>
          <w:lang w:val="fi-FI"/>
        </w:rPr>
        <w:t>19.2.</w:t>
      </w:r>
      <w:r>
        <w:rPr>
          <w:lang w:val="fi-FI"/>
        </w:rPr>
        <w:tab/>
      </w:r>
      <w:r>
        <w:rPr>
          <w:lang w:val="fi-FI"/>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0000069A">
      <w:pPr>
        <w:widowControl w:val="0"/>
        <w:tabs>
          <w:tab w:val="left" w:pos="567"/>
          <w:tab w:val="left" w:pos="851"/>
          <w:tab w:val="left" w:pos="992"/>
          <w:tab w:val="left" w:pos="1134"/>
        </w:tabs>
        <w:spacing w:line="259" w:lineRule="auto"/>
        <w:jc w:val="both"/>
        <w:rPr>
          <w:lang w:val="fi-FI"/>
        </w:rPr>
      </w:pPr>
    </w:p>
    <w:p w14:paraId="0000069B">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20.</w:t>
      </w:r>
      <w:r>
        <w:rPr>
          <w:b/>
          <w:smallCaps/>
          <w:lang w:val="fi-FI"/>
        </w:rPr>
        <w:tab/>
      </w:r>
      <w:r>
        <w:rPr>
          <w:b/>
          <w:smallCaps/>
          <w:lang w:val="fi-FI"/>
        </w:rPr>
        <w:t>SUTARTIES PAKEITIMAI</w:t>
      </w:r>
    </w:p>
    <w:p w14:paraId="0000069C">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9D">
      <w:pPr>
        <w:tabs>
          <w:tab w:val="left" w:pos="284"/>
          <w:tab w:val="left" w:pos="567"/>
        </w:tabs>
        <w:spacing w:line="259" w:lineRule="auto"/>
        <w:jc w:val="both"/>
        <w:rPr>
          <w:lang w:val="fi-FI"/>
        </w:rPr>
      </w:pPr>
      <w:r>
        <w:rPr>
          <w:lang w:val="fi-FI"/>
        </w:rPr>
        <w:t>20.1. Sutarties sąlygos Sutarties galiojimo laikotarpiu negali būti keičiamos, išskyrus tokias Sutarties sąlygas, kurių keitimas numatytas Sutartyje ir (ar) galimas vadovaujantis VPĮ nuostatomis.</w:t>
      </w:r>
    </w:p>
    <w:p w14:paraId="0000069E">
      <w:pPr>
        <w:widowControl w:val="0"/>
        <w:tabs>
          <w:tab w:val="left" w:pos="567"/>
          <w:tab w:val="left" w:pos="851"/>
          <w:tab w:val="left" w:pos="992"/>
          <w:tab w:val="left" w:pos="1134"/>
        </w:tabs>
        <w:spacing w:line="259" w:lineRule="auto"/>
        <w:jc w:val="both"/>
        <w:rPr>
          <w:lang w:val="fi-FI"/>
        </w:rPr>
      </w:pPr>
      <w:r>
        <w:rPr>
          <w:lang w:val="fi-FI"/>
        </w:rPr>
        <w:t xml:space="preserve">20.2. Sutarties pakeitimai įforminami Šalims sudarant Susitarimą. </w:t>
      </w:r>
    </w:p>
    <w:p w14:paraId="0000069F">
      <w:pPr>
        <w:widowControl w:val="0"/>
        <w:tabs>
          <w:tab w:val="left" w:pos="567"/>
          <w:tab w:val="left" w:pos="851"/>
          <w:tab w:val="left" w:pos="992"/>
          <w:tab w:val="left" w:pos="1134"/>
        </w:tabs>
        <w:spacing w:line="259" w:lineRule="auto"/>
        <w:jc w:val="both"/>
        <w:rPr>
          <w:lang w:val="fi-FI"/>
        </w:rPr>
      </w:pPr>
      <w:r>
        <w:rPr>
          <w:lang w:val="fi-FI"/>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 </w:t>
      </w:r>
    </w:p>
    <w:p w14:paraId="000006A0">
      <w:pPr>
        <w:widowControl w:val="0"/>
        <w:tabs>
          <w:tab w:val="left" w:pos="567"/>
          <w:tab w:val="left" w:pos="851"/>
          <w:tab w:val="left" w:pos="992"/>
          <w:tab w:val="left" w:pos="1134"/>
        </w:tabs>
        <w:spacing w:line="259" w:lineRule="auto"/>
        <w:jc w:val="both"/>
        <w:rPr>
          <w:lang w:val="fi-FI"/>
        </w:rPr>
      </w:pPr>
      <w:r>
        <w:rPr>
          <w:lang w:val="fi-FI"/>
        </w:rPr>
        <w:t>20.4. Susitarimai įsigalioja nuo jų sudarymo, jei Susitarime nenurodyta kitaip. Susitarimą Pirkėjas privalo paviešinti VPĮ 33 ir 86 straipsniuose nustatyta tvarka.</w:t>
      </w:r>
    </w:p>
    <w:p w14:paraId="000006A1">
      <w:pPr>
        <w:widowControl w:val="0"/>
        <w:tabs>
          <w:tab w:val="left" w:pos="567"/>
          <w:tab w:val="left" w:pos="851"/>
          <w:tab w:val="left" w:pos="992"/>
          <w:tab w:val="left" w:pos="1134"/>
        </w:tabs>
        <w:spacing w:line="259" w:lineRule="auto"/>
        <w:jc w:val="both"/>
        <w:rPr>
          <w:lang w:val="fi-FI"/>
        </w:rPr>
      </w:pPr>
      <w:r>
        <w:rPr>
          <w:lang w:val="fi-FI"/>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00006A2">
      <w:pPr>
        <w:widowControl w:val="0"/>
        <w:tabs>
          <w:tab w:val="left" w:pos="567"/>
          <w:tab w:val="left" w:pos="851"/>
          <w:tab w:val="left" w:pos="992"/>
          <w:tab w:val="left" w:pos="1134"/>
        </w:tabs>
        <w:spacing w:line="259" w:lineRule="auto"/>
        <w:jc w:val="both"/>
        <w:rPr>
          <w:lang w:val="fi-FI"/>
        </w:rPr>
      </w:pPr>
    </w:p>
    <w:p w14:paraId="000006A3">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21.</w:t>
      </w:r>
      <w:r>
        <w:rPr>
          <w:b/>
          <w:smallCaps/>
          <w:lang w:val="fi-FI"/>
        </w:rPr>
        <w:tab/>
      </w:r>
      <w:r>
        <w:rPr>
          <w:b/>
          <w:smallCaps/>
          <w:lang w:val="fi-FI"/>
        </w:rPr>
        <w:t>SUTARTIES SUSTABDYMAS</w:t>
      </w:r>
    </w:p>
    <w:p w14:paraId="000006A4">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A5">
      <w:pPr>
        <w:tabs>
          <w:tab w:val="left" w:pos="567"/>
        </w:tabs>
        <w:spacing w:line="259" w:lineRule="auto"/>
        <w:jc w:val="both"/>
        <w:rPr>
          <w:lang w:val="fi-FI"/>
        </w:rPr>
      </w:pPr>
      <w:r>
        <w:rPr>
          <w:lang w:val="fi-FI"/>
        </w:rPr>
        <w:t>21.1. Nesant Tiekėjo kaltės ir esant aplinkybėms, kurių Tiekėjas negalėjo numatyti, dėl kurių Tiekėjas negali vykdyti savo sutartinių įsipareigojimų ir (arba) esant kitoms nenumatytoms aplinkybėms, Sutarties šalys turi teisę inicijuoti Prekių (jų dalies) tiekimo sustabdymą iki atitinkamų aplinkybių pasibaigimo. </w:t>
      </w:r>
    </w:p>
    <w:p w14:paraId="000006A6">
      <w:pPr>
        <w:tabs>
          <w:tab w:val="left" w:pos="567"/>
        </w:tabs>
        <w:spacing w:line="259" w:lineRule="auto"/>
        <w:jc w:val="both"/>
        <w:rPr>
          <w:lang w:val="fi-FI"/>
        </w:rPr>
      </w:pPr>
      <w:r>
        <w:rPr>
          <w:lang w:val="fi-FI"/>
        </w:rPr>
        <w:t>21.2. Prekių (jų dalies) tiekimas gali būti stabdomas esant bent vienai iš šių aplinkybių: </w:t>
      </w:r>
    </w:p>
    <w:p w14:paraId="000006A7">
      <w:pPr>
        <w:tabs>
          <w:tab w:val="left" w:pos="567"/>
        </w:tabs>
        <w:spacing w:line="259" w:lineRule="auto"/>
        <w:jc w:val="both"/>
        <w:rPr>
          <w:lang w:val="fi-FI"/>
        </w:rPr>
      </w:pPr>
      <w:r>
        <w:rPr>
          <w:lang w:val="fi-FI"/>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00006A8">
      <w:pPr>
        <w:tabs>
          <w:tab w:val="left" w:pos="567"/>
        </w:tabs>
        <w:spacing w:line="259" w:lineRule="auto"/>
        <w:jc w:val="both"/>
        <w:rPr>
          <w:lang w:val="fi-FI"/>
        </w:rPr>
      </w:pPr>
      <w:r>
        <w:rPr>
          <w:lang w:val="fi-FI"/>
        </w:rPr>
        <w:t>21.2.2. Pirkėjas Sutartyje nurodyta tvarka negali priimti Prekių (pavyzdžiui, nebaigta įrengti patalpa, kurioje turi būti įmontuojamos Prekės), o Tiekėjas dėl to negali vykdyti Sutarties; </w:t>
      </w:r>
    </w:p>
    <w:p w14:paraId="000006A9">
      <w:pPr>
        <w:tabs>
          <w:tab w:val="left" w:pos="567"/>
        </w:tabs>
        <w:spacing w:line="259" w:lineRule="auto"/>
        <w:jc w:val="both"/>
        <w:rPr>
          <w:lang w:val="fi-FI"/>
        </w:rPr>
      </w:pPr>
      <w:r>
        <w:rPr>
          <w:lang w:val="fi-FI"/>
        </w:rPr>
        <w:t>21.2.3. dėl nenumatytų prekių, paslaugų ir (ar) darbų, susijusių su perkamu objektu, kurių poreikis paaiškėjo tik vykdant Sutartį; </w:t>
      </w:r>
    </w:p>
    <w:p w14:paraId="000006AA">
      <w:pPr>
        <w:tabs>
          <w:tab w:val="left" w:pos="567"/>
        </w:tabs>
        <w:spacing w:line="259" w:lineRule="auto"/>
        <w:jc w:val="both"/>
        <w:rPr>
          <w:lang w:val="fi-FI"/>
        </w:rPr>
      </w:pPr>
      <w:r>
        <w:rPr>
          <w:lang w:val="fi-FI"/>
        </w:rPr>
        <w:t>21.2.4. ne dėl Pirkėjo kaltės vėluoja kitos Pirkėjo pirkimo sutarties, turinčios tiesioginės įtakos šiai Sutarčiai, vykdymas;  </w:t>
      </w:r>
    </w:p>
    <w:p w14:paraId="000006AB">
      <w:pPr>
        <w:tabs>
          <w:tab w:val="left" w:pos="567"/>
        </w:tabs>
        <w:spacing w:line="259" w:lineRule="auto"/>
        <w:jc w:val="both"/>
        <w:rPr>
          <w:lang w:val="fi-FI"/>
        </w:rPr>
      </w:pPr>
      <w:r>
        <w:rPr>
          <w:lang w:val="fi-FI"/>
        </w:rPr>
        <w:t>21.2.5. esant įrodymais pagrįstoms kliūtims ar trukdymams, sukeltiems Tiekėjui kitų trečiųjų asmenų ne dėl Tiekėjo ne laiku ar netinkamai pagal Sutarties sąlygas ir tvarką įvykdytų sutartinių įsipareigojimų; </w:t>
      </w:r>
    </w:p>
    <w:p w14:paraId="000006AC">
      <w:pPr>
        <w:tabs>
          <w:tab w:val="left" w:pos="567"/>
        </w:tabs>
        <w:spacing w:line="259" w:lineRule="auto"/>
        <w:jc w:val="both"/>
        <w:rPr>
          <w:lang w:val="fi-FI"/>
        </w:rPr>
      </w:pPr>
      <w:r>
        <w:rPr>
          <w:lang w:val="fi-FI"/>
        </w:rPr>
        <w:t>21.2.6. pasikeitus galiojančiam teisės aktui ar įsigaliojus naujam teisės aktui, kuris turi įtakos šios Sutarties vykdymui; </w:t>
      </w:r>
    </w:p>
    <w:p w14:paraId="000006AD">
      <w:pPr>
        <w:tabs>
          <w:tab w:val="left" w:pos="567"/>
        </w:tabs>
        <w:spacing w:line="259" w:lineRule="auto"/>
        <w:jc w:val="both"/>
        <w:rPr>
          <w:lang w:val="fi-FI"/>
        </w:rPr>
      </w:pPr>
      <w:r>
        <w:rPr>
          <w:lang w:val="fi-FI"/>
        </w:rPr>
        <w:t>21.2.7. sutartinių įsipareigojimų stabdymo būtinybė atsirado dėl sustabdyto / perskirstyto / negauto ir panašiai Pirkėjo Prekių pirkimui skirto finansavimo arba finansavimo trūkumo; </w:t>
      </w:r>
    </w:p>
    <w:p w14:paraId="000006AE">
      <w:pPr>
        <w:tabs>
          <w:tab w:val="left" w:pos="567"/>
        </w:tabs>
        <w:spacing w:line="259" w:lineRule="auto"/>
        <w:jc w:val="both"/>
        <w:rPr>
          <w:lang w:val="fi-FI"/>
        </w:rPr>
      </w:pPr>
      <w:r>
        <w:rPr>
          <w:lang w:val="fi-FI"/>
        </w:rPr>
        <w:t>21.2.8. dėl teisminių (arbitražinių) ginčų su Pirkėju ar trečiaisiais asmenimis, kurių dalykas yra tiesiogiai susijęs su Sutarties vykdymu. </w:t>
      </w:r>
    </w:p>
    <w:p w14:paraId="000006AF">
      <w:pPr>
        <w:tabs>
          <w:tab w:val="left" w:pos="567"/>
        </w:tabs>
        <w:spacing w:line="259" w:lineRule="auto"/>
        <w:jc w:val="both"/>
        <w:rPr>
          <w:lang w:val="fi-FI"/>
        </w:rPr>
      </w:pPr>
      <w:r>
        <w:rPr>
          <w:lang w:val="fi-FI"/>
        </w:rPr>
        <w:t xml:space="preserve">21.3. Jei Prekių (jų dalies) tiekimo stabdymas atliekamas dėl Bendrųjų sąlygų 21.2 punkte nurodytų aplinkybių ir tęsiasi ne ilgiau kaip 3 (tris) mėnesius, toks stabdymas laikomas Sutarties keitimu joje numatytomis sąlygomis. </w:t>
      </w:r>
    </w:p>
    <w:p w14:paraId="000006B0">
      <w:pPr>
        <w:tabs>
          <w:tab w:val="left" w:pos="567"/>
        </w:tabs>
        <w:spacing w:line="259" w:lineRule="auto"/>
        <w:jc w:val="both"/>
        <w:rPr>
          <w:lang w:val="fi-FI"/>
        </w:rPr>
      </w:pPr>
      <w:r>
        <w:rPr>
          <w:lang w:val="fi-FI"/>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p>
    <w:p w14:paraId="000006B1">
      <w:pPr>
        <w:tabs>
          <w:tab w:val="left" w:pos="567"/>
        </w:tabs>
        <w:spacing w:line="259" w:lineRule="auto"/>
        <w:jc w:val="both"/>
        <w:rPr>
          <w:lang w:val="fi-FI"/>
        </w:rPr>
      </w:pPr>
      <w:r>
        <w:rPr>
          <w:lang w:val="fi-FI"/>
        </w:rPr>
        <w:t>21.5. Sutartinių įsipareigojimų vykdymas gali būti stabdomas tik Sutarties galiojimo laikotarpiu tokia tvarka:</w:t>
      </w:r>
    </w:p>
    <w:p w14:paraId="000006B2">
      <w:pPr>
        <w:tabs>
          <w:tab w:val="left" w:pos="567"/>
        </w:tabs>
        <w:spacing w:line="264" w:lineRule="auto"/>
        <w:jc w:val="both"/>
        <w:rPr>
          <w:lang w:val="fi-FI"/>
        </w:rPr>
      </w:pPr>
      <w:r>
        <w:rPr>
          <w:lang w:val="fi-FI"/>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000006B3">
      <w:pPr>
        <w:spacing w:line="264" w:lineRule="auto"/>
        <w:jc w:val="both"/>
        <w:rPr>
          <w:lang w:val="fi-FI"/>
        </w:rPr>
      </w:pPr>
      <w:r>
        <w:rPr>
          <w:lang w:val="fi-FI"/>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00006B4">
      <w:pPr>
        <w:spacing w:line="264" w:lineRule="auto"/>
        <w:jc w:val="both"/>
        <w:rPr>
          <w:lang w:val="fi-FI"/>
        </w:rPr>
      </w:pPr>
      <w:r>
        <w:rPr>
          <w:lang w:val="fi-FI"/>
        </w:rPr>
        <w:t>21.5.3. Tiekėjas, gavęs Pirkėjo raštišką pranešimą apie stabdymą, privalo nedelsiant, bet ne vėliau kaip per 3 (tris) darbo dienas po patvirtinimo išsiuntimo Pirkėjui dienos, sustabdyti sutartinių įsipareigojimų vykdymą. Jei Sutartis sustabdyta, Šalys negali vykdyti jokių jiems pagal Sutartį priskirtų įsipareigojimų.</w:t>
      </w:r>
    </w:p>
    <w:p w14:paraId="000006B5">
      <w:pPr>
        <w:spacing w:line="264" w:lineRule="auto"/>
        <w:jc w:val="both"/>
        <w:rPr>
          <w:lang w:val="fi-FI"/>
        </w:rPr>
      </w:pPr>
      <w:r>
        <w:rPr>
          <w:lang w:val="fi-FI"/>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00006B6">
      <w:pPr>
        <w:spacing w:line="264" w:lineRule="auto"/>
        <w:jc w:val="both"/>
        <w:rPr>
          <w:lang w:val="fi-FI"/>
        </w:rPr>
      </w:pPr>
      <w:r>
        <w:rPr>
          <w:lang w:val="fi-FI"/>
        </w:rPr>
        <w:t>21.7. Sutartinių įsipareigojimų vykdymas stabdomas ne ilgesniam kaip konkrečios, pagrįstos aplinkybės egzistavimo laikotarpiui.</w:t>
      </w:r>
    </w:p>
    <w:p w14:paraId="000006B7">
      <w:pPr>
        <w:tabs>
          <w:tab w:val="left" w:pos="567"/>
        </w:tabs>
        <w:spacing w:line="259" w:lineRule="auto"/>
        <w:jc w:val="both"/>
        <w:rPr>
          <w:lang w:val="fi-FI"/>
        </w:rPr>
      </w:pPr>
      <w:r>
        <w:rPr>
          <w:lang w:val="fi-FI"/>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00006B8">
      <w:pPr>
        <w:tabs>
          <w:tab w:val="left" w:pos="567"/>
        </w:tabs>
        <w:spacing w:line="259" w:lineRule="auto"/>
        <w:jc w:val="both"/>
        <w:rPr>
          <w:lang w:val="fi-FI"/>
        </w:rPr>
      </w:pPr>
      <w:r>
        <w:rPr>
          <w:lang w:val="fi-FI"/>
        </w:rPr>
        <w:t>21.9. Jeigu Sutartyje numatytų prievolių įvykdymo terminai buvo sustabdyti Sutartyje nustatytais pagrindais, jie atnaujinami pasibaigus sustabdymą lėmusioms aplinkybėms arba Šalių susitarime nurodytam terminui, priklausomai nuo to, kuris įvyksta anksčiau.  </w:t>
      </w:r>
    </w:p>
    <w:p w14:paraId="000006B9">
      <w:pPr>
        <w:tabs>
          <w:tab w:val="left" w:pos="567"/>
        </w:tabs>
        <w:spacing w:line="259" w:lineRule="auto"/>
        <w:jc w:val="both"/>
        <w:rPr>
          <w:lang w:val="fi-FI"/>
        </w:rPr>
      </w:pPr>
      <w:r>
        <w:rPr>
          <w:lang w:val="fi-FI"/>
        </w:rPr>
        <w:t>21.10. Atnaujinus Sutarties vykdymą, neįvykdytų prievolių (jų dalies) įvykdymo terminai ir Sutarties galiojimas nukeliami tokiam terminui, kiek buvo likę laiko jų įvykdymui (Sutarties galiojimui) jų sustabdymo metu. </w:t>
      </w:r>
    </w:p>
    <w:p w14:paraId="000006BA">
      <w:pPr>
        <w:tabs>
          <w:tab w:val="left" w:pos="567"/>
        </w:tabs>
        <w:spacing w:line="259" w:lineRule="auto"/>
        <w:jc w:val="both"/>
        <w:rPr>
          <w:lang w:val="fi-FI"/>
        </w:rPr>
      </w:pPr>
      <w:r>
        <w:rPr>
          <w:lang w:val="fi-FI"/>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00006BB">
      <w:pPr>
        <w:tabs>
          <w:tab w:val="left" w:pos="567"/>
        </w:tabs>
        <w:spacing w:line="259" w:lineRule="auto"/>
        <w:jc w:val="both"/>
        <w:rPr>
          <w:lang w:val="fi-FI"/>
        </w:rPr>
      </w:pPr>
    </w:p>
    <w:p w14:paraId="000006BC">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22.</w:t>
      </w:r>
      <w:r>
        <w:rPr>
          <w:b/>
          <w:smallCaps/>
          <w:lang w:val="fi-FI"/>
        </w:rPr>
        <w:tab/>
      </w:r>
      <w:r>
        <w:rPr>
          <w:b/>
          <w:smallCaps/>
          <w:lang w:val="fi-FI"/>
        </w:rPr>
        <w:t>SUTARTIES NUTRAUKIMAS</w:t>
      </w:r>
    </w:p>
    <w:p w14:paraId="000006BD">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BE">
      <w:pPr>
        <w:tabs>
          <w:tab w:val="left" w:pos="567"/>
          <w:tab w:val="left" w:pos="851"/>
          <w:tab w:val="left" w:pos="992"/>
          <w:tab w:val="left" w:pos="1134"/>
        </w:tabs>
        <w:spacing w:line="259" w:lineRule="auto"/>
        <w:jc w:val="both"/>
        <w:rPr>
          <w:b/>
          <w:lang w:val="fi-FI"/>
        </w:rPr>
      </w:pPr>
      <w:r>
        <w:rPr>
          <w:lang w:val="fi-FI"/>
        </w:rPr>
        <w:t>Sutartis gali būti nutraukiama VPĮ 90 straipsnyje ir Sutartyje numatytais atvejais, įskaitant galimybę nutraukti Sutartį Šalių susitarimu.</w:t>
      </w:r>
    </w:p>
    <w:p w14:paraId="000006BF">
      <w:pPr>
        <w:tabs>
          <w:tab w:val="left" w:pos="567"/>
          <w:tab w:val="left" w:pos="851"/>
          <w:tab w:val="left" w:pos="992"/>
          <w:tab w:val="left" w:pos="1134"/>
        </w:tabs>
        <w:spacing w:line="259" w:lineRule="auto"/>
        <w:jc w:val="both"/>
        <w:rPr>
          <w:b/>
          <w:lang w:val="fi-FI"/>
        </w:rPr>
      </w:pPr>
    </w:p>
    <w:p w14:paraId="000006C0">
      <w:pPr>
        <w:keepNext/>
        <w:keepLines/>
        <w:widowControl w:val="0"/>
        <w:tabs>
          <w:tab w:val="left" w:pos="567"/>
          <w:tab w:val="left" w:pos="851"/>
          <w:tab w:val="left" w:pos="992"/>
          <w:tab w:val="left" w:pos="1134"/>
        </w:tabs>
        <w:spacing w:line="259" w:lineRule="auto"/>
        <w:jc w:val="center"/>
        <w:rPr>
          <w:b/>
          <w:lang w:val="fi-FI"/>
        </w:rPr>
      </w:pPr>
      <w:r>
        <w:rPr>
          <w:b/>
          <w:lang w:val="fi-FI"/>
        </w:rPr>
        <w:t>22.1.</w:t>
      </w:r>
      <w:r>
        <w:rPr>
          <w:b/>
          <w:lang w:val="fi-FI"/>
        </w:rPr>
        <w:tab/>
      </w:r>
      <w:r>
        <w:rPr>
          <w:b/>
          <w:lang w:val="fi-FI"/>
        </w:rPr>
        <w:t>Pretenzijos dėl Sutarties pažeidimų</w:t>
      </w:r>
    </w:p>
    <w:p w14:paraId="000006C1">
      <w:pPr>
        <w:keepNext/>
        <w:keepLines/>
        <w:widowControl w:val="0"/>
        <w:tabs>
          <w:tab w:val="left" w:pos="567"/>
          <w:tab w:val="left" w:pos="851"/>
          <w:tab w:val="left" w:pos="992"/>
          <w:tab w:val="left" w:pos="1134"/>
        </w:tabs>
        <w:spacing w:line="259" w:lineRule="auto"/>
        <w:jc w:val="both"/>
        <w:rPr>
          <w:b/>
          <w:lang w:val="fi-FI"/>
        </w:rPr>
      </w:pPr>
    </w:p>
    <w:p w14:paraId="000006C2">
      <w:pPr>
        <w:tabs>
          <w:tab w:val="left" w:pos="567"/>
        </w:tabs>
        <w:spacing w:line="259" w:lineRule="auto"/>
        <w:jc w:val="both"/>
        <w:rPr>
          <w:lang w:val="fi-FI"/>
        </w:rPr>
      </w:pPr>
      <w:r>
        <w:rPr>
          <w:lang w:val="fi-FI"/>
        </w:rPr>
        <w:t>22.1.1.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w:t>
      </w:r>
    </w:p>
    <w:p w14:paraId="000006C3">
      <w:pPr>
        <w:tabs>
          <w:tab w:val="left" w:pos="567"/>
        </w:tabs>
        <w:spacing w:line="259" w:lineRule="auto"/>
        <w:jc w:val="both"/>
        <w:rPr>
          <w:lang w:val="fi-FI"/>
        </w:rPr>
      </w:pPr>
      <w:r>
        <w:rPr>
          <w:lang w:val="fi-FI"/>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lang w:val="fi-FI"/>
        </w:rPr>
        <w:t xml:space="preserve"> </w:t>
      </w:r>
      <w:r>
        <w:rPr>
          <w:lang w:val="fi-FI"/>
        </w:rPr>
        <w:t>Tiekėjo teisė siūlyti kitą terminą nelaikoma Pirkėjo pareiga tą terminą priimti. Pretenziją gavusios Šalies pasiūlytasis terminas pakeičia terminą, nurodytą pretenzijoje, tik jeigu kita Šalis jį patvirtina. </w:t>
      </w:r>
    </w:p>
    <w:p w14:paraId="000006C4">
      <w:pPr>
        <w:tabs>
          <w:tab w:val="left" w:pos="567"/>
        </w:tabs>
        <w:spacing w:line="259" w:lineRule="auto"/>
        <w:jc w:val="both"/>
        <w:rPr>
          <w:lang w:val="fi-FI"/>
        </w:rPr>
      </w:pPr>
    </w:p>
    <w:p w14:paraId="000006C5">
      <w:pPr>
        <w:keepNext/>
        <w:keepLines/>
        <w:widowControl w:val="0"/>
        <w:tabs>
          <w:tab w:val="left" w:pos="567"/>
          <w:tab w:val="left" w:pos="851"/>
          <w:tab w:val="left" w:pos="992"/>
          <w:tab w:val="left" w:pos="1134"/>
        </w:tabs>
        <w:spacing w:line="259" w:lineRule="auto"/>
        <w:jc w:val="center"/>
        <w:rPr>
          <w:b/>
          <w:lang w:val="fi-FI"/>
        </w:rPr>
      </w:pPr>
      <w:r>
        <w:rPr>
          <w:b/>
          <w:lang w:val="fi-FI"/>
        </w:rPr>
        <w:t>22.2.</w:t>
      </w:r>
      <w:r>
        <w:rPr>
          <w:b/>
          <w:lang w:val="fi-FI"/>
        </w:rPr>
        <w:tab/>
      </w:r>
      <w:r>
        <w:rPr>
          <w:b/>
          <w:lang w:val="fi-FI"/>
        </w:rPr>
        <w:t>Sutarties nutraukimas Pirkėjo iniciatyva</w:t>
      </w:r>
    </w:p>
    <w:p w14:paraId="000006C6">
      <w:pPr>
        <w:keepNext/>
        <w:keepLines/>
        <w:widowControl w:val="0"/>
        <w:tabs>
          <w:tab w:val="left" w:pos="567"/>
          <w:tab w:val="left" w:pos="851"/>
          <w:tab w:val="left" w:pos="992"/>
          <w:tab w:val="left" w:pos="1134"/>
        </w:tabs>
        <w:spacing w:line="259" w:lineRule="auto"/>
        <w:jc w:val="both"/>
        <w:rPr>
          <w:b/>
          <w:lang w:val="fi-FI"/>
        </w:rPr>
      </w:pPr>
    </w:p>
    <w:p w14:paraId="000006C7">
      <w:pPr>
        <w:tabs>
          <w:tab w:val="left" w:pos="567"/>
        </w:tabs>
        <w:spacing w:line="259" w:lineRule="auto"/>
        <w:jc w:val="both"/>
        <w:rPr>
          <w:lang w:val="fi-FI"/>
        </w:rPr>
      </w:pPr>
      <w:r>
        <w:rPr>
          <w:lang w:val="fi-FI"/>
        </w:rPr>
        <w:t>22.2.1. Pirkėjas  vienašališkai nutraukia Sutartį, įspėjęs Tiekėją raštu prieš ne trumpesnį nei 5 (penkių) dienų terminą, jeigu Tiekėjas padaro esminį Sutarties pažeidimą, nurodytą Specialiosiose sąlygose. Pirkėjas taip pat turi teisę nutraukti Sutartį, jeigu Tiekėjas padaro Sutarties pažeidimą, kuris atitinka esminio Sutarties pažeidimo požymius, nurodytus Lietuvos Respublikos civiliniame kodekse, ir, gavęs Pirkėjo pretenziją, per pretenzijoje nurodytą terminą neištaiso pažeidimo. </w:t>
      </w:r>
    </w:p>
    <w:p w14:paraId="000006C8">
      <w:pPr>
        <w:tabs>
          <w:tab w:val="left" w:pos="567"/>
        </w:tabs>
        <w:spacing w:line="259" w:lineRule="auto"/>
        <w:jc w:val="both"/>
        <w:rPr>
          <w:lang w:val="fi-FI"/>
        </w:rPr>
      </w:pPr>
      <w:r>
        <w:rPr>
          <w:lang w:val="fi-FI"/>
        </w:rPr>
        <w:t>22.2.2. Pirkėjas turi teisę vienašališkai nutraukti Sutartį ar jos dalį raštu įspėjęs Tiekėją prieš ne trumpesnį nei 10 (dešimties) dienų terminą, jeigu: </w:t>
      </w:r>
    </w:p>
    <w:p w14:paraId="000006C9">
      <w:pPr>
        <w:tabs>
          <w:tab w:val="left" w:pos="567"/>
        </w:tabs>
        <w:spacing w:line="259" w:lineRule="auto"/>
        <w:jc w:val="both"/>
        <w:rPr>
          <w:lang w:val="fi-FI"/>
        </w:rPr>
      </w:pPr>
      <w:r>
        <w:rPr>
          <w:lang w:val="fi-FI"/>
        </w:rPr>
        <w:t>22.2.2.1. Tiekėjui yra iškelta bankroto byla, pradėtas bankroto procesas ne teismo tvarka, jis tampa nemokus arba yra nemokumo tikimybė, sustabdo ūkinę veiklą ar susidaro</w:t>
      </w:r>
      <w:r>
        <w:rPr>
          <w:b/>
          <w:color w:val="5C5D5D"/>
          <w:lang w:val="fi-FI"/>
        </w:rPr>
        <w:t xml:space="preserve"> </w:t>
      </w:r>
      <w:r>
        <w:rPr>
          <w:lang w:val="fi-FI"/>
        </w:rPr>
        <w:t>įstatymuose ir kituose teisės aktuose nustatyta tvarka analogiška situacija</w:t>
      </w:r>
      <w:r>
        <w:rPr>
          <w:color w:val="000000"/>
          <w:highlight w:val="white"/>
          <w:lang w:val="fi-FI"/>
        </w:rPr>
        <w:t>;</w:t>
      </w:r>
      <w:r>
        <w:rPr>
          <w:color w:val="000000"/>
          <w:lang w:val="fi-FI"/>
        </w:rPr>
        <w:t> </w:t>
      </w:r>
    </w:p>
    <w:p w14:paraId="000006CA">
      <w:pPr>
        <w:tabs>
          <w:tab w:val="left" w:pos="567"/>
        </w:tabs>
        <w:spacing w:line="259" w:lineRule="auto"/>
        <w:jc w:val="both"/>
        <w:rPr>
          <w:lang w:val="fi-FI"/>
        </w:rPr>
      </w:pPr>
      <w:r>
        <w:rPr>
          <w:lang w:val="fi-FI"/>
        </w:rPr>
        <w:t>22.2.2.2. Tiekėjo padėtis pasikeičia ir jis atitinka pirkimo dokumentuose nustatytą pašalinimo pagrindą, kuris taikomas ir Sutarties galiojimo metu;</w:t>
      </w:r>
    </w:p>
    <w:p w14:paraId="000006CB">
      <w:pPr>
        <w:tabs>
          <w:tab w:val="left" w:pos="567"/>
        </w:tabs>
        <w:spacing w:line="259" w:lineRule="auto"/>
        <w:jc w:val="both"/>
        <w:rPr>
          <w:lang w:val="fi-FI"/>
        </w:rPr>
      </w:pPr>
      <w:r>
        <w:rPr>
          <w:lang w:val="fi-FI"/>
        </w:rPr>
        <w:t>22.2.2.3. pasikeičia teisės aktai, susiję su Sutarties objektu, Sutarties vykdymu, ar su Pirkėjo vykdoma veikla, kuriai buvo sudaryta Sutartis, ir dėl tokių pakeitimų Pirkėjas nusprendžia nutraukti Sutartį;  </w:t>
      </w:r>
    </w:p>
    <w:p w14:paraId="000006CC">
      <w:pPr>
        <w:tabs>
          <w:tab w:val="left" w:pos="567"/>
        </w:tabs>
        <w:spacing w:line="259" w:lineRule="auto"/>
        <w:jc w:val="both"/>
        <w:rPr>
          <w:lang w:val="fi-FI"/>
        </w:rPr>
      </w:pPr>
      <w:r>
        <w:rPr>
          <w:lang w:val="fi-FI"/>
        </w:rPr>
        <w:t>22.2.2.4. Pirkėjas nusprendžia nebevykdyti veiklos, kurios vykdymui Sutartimi įsigyjamos Prekės ir Sutarties poreikis išnyksta; </w:t>
      </w:r>
    </w:p>
    <w:p w14:paraId="000006CD">
      <w:pPr>
        <w:tabs>
          <w:tab w:val="left" w:pos="567"/>
        </w:tabs>
        <w:spacing w:line="259" w:lineRule="auto"/>
        <w:jc w:val="both"/>
        <w:rPr>
          <w:lang w:val="fi-FI"/>
        </w:rPr>
      </w:pPr>
      <w:r>
        <w:rPr>
          <w:lang w:val="fi-FI"/>
        </w:rPr>
        <w:t>22.2.2.5. Pirkėjo valdymo organas priima sprendimą, dėl kurio Sutarties poreikis išnyksta; </w:t>
      </w:r>
    </w:p>
    <w:p w14:paraId="000006CE">
      <w:pPr>
        <w:tabs>
          <w:tab w:val="left" w:pos="567"/>
        </w:tabs>
        <w:spacing w:line="259" w:lineRule="auto"/>
        <w:jc w:val="both"/>
        <w:rPr>
          <w:lang w:val="fi-FI"/>
        </w:rPr>
      </w:pPr>
      <w:r>
        <w:rPr>
          <w:lang w:val="fi-FI"/>
        </w:rPr>
        <w:t>22.2.2.6. pasikeičia (pablogėja) Pirkėjo finansinė padėtis ar Pirkėjas negauna / netenka finansavimo ir dėl šios priežasties nusprendžia nutraukti Sutartį; </w:t>
      </w:r>
    </w:p>
    <w:p w14:paraId="000006CF">
      <w:pPr>
        <w:tabs>
          <w:tab w:val="left" w:pos="567"/>
        </w:tabs>
        <w:spacing w:line="259" w:lineRule="auto"/>
        <w:jc w:val="both"/>
        <w:rPr>
          <w:lang w:val="fi-FI"/>
        </w:rPr>
      </w:pPr>
      <w:r>
        <w:rPr>
          <w:lang w:val="fi-FI"/>
        </w:rPr>
        <w:t>22.2.2.7. keičiasi Pirkėjo organizacinė struktūra – juridinis statusas, pobūdis ar valdymo struktūra ir tai gali turėti įtakos tinkamam Sutarties įvykdymui arba Sutarties poreikiui; </w:t>
      </w:r>
    </w:p>
    <w:p w14:paraId="000006D0">
      <w:pPr>
        <w:tabs>
          <w:tab w:val="left" w:pos="567"/>
        </w:tabs>
        <w:spacing w:line="259" w:lineRule="auto"/>
        <w:jc w:val="both"/>
        <w:rPr>
          <w:lang w:val="fi-FI"/>
        </w:rPr>
      </w:pPr>
      <w:r>
        <w:rPr>
          <w:lang w:val="fi-FI"/>
        </w:rPr>
        <w:t>22.2.2.8. nebelieka perkamų Prekių poreikio; </w:t>
      </w:r>
    </w:p>
    <w:p w14:paraId="000006D1">
      <w:pPr>
        <w:tabs>
          <w:tab w:val="left" w:pos="567"/>
        </w:tabs>
        <w:spacing w:line="259" w:lineRule="auto"/>
        <w:jc w:val="both"/>
        <w:rPr>
          <w:lang w:val="fi-FI"/>
        </w:rPr>
      </w:pPr>
      <w:r>
        <w:rPr>
          <w:lang w:val="fi-FI"/>
        </w:rPr>
        <w:t>22.2.2.9. Pirkėjas iš pirkimų priežiūrą atliekančių institucijų gauna nurodymą / rekomendaciją nutraukti Sutartį;</w:t>
      </w:r>
    </w:p>
    <w:p w14:paraId="000006D2">
      <w:pPr>
        <w:tabs>
          <w:tab w:val="left" w:pos="567"/>
        </w:tabs>
        <w:spacing w:line="259" w:lineRule="auto"/>
        <w:jc w:val="both"/>
        <w:rPr>
          <w:lang w:val="fi-FI"/>
        </w:rPr>
      </w:pPr>
      <w:r>
        <w:rPr>
          <w:lang w:val="fi-FI"/>
        </w:rPr>
        <w:t>22.2.2.10. Tiekėjas vėluoja pateikti Sutarties įvykdymo užtikrinimo pratęsimą ilgiau kaip 10 (dešimt) darbo dienų nuo paskutinio Sutarties įvykdymo užtikrinimo galiojimo termino pabaigos arba atsisako jį pateikti;</w:t>
      </w:r>
    </w:p>
    <w:p w14:paraId="000006D3">
      <w:pPr>
        <w:tabs>
          <w:tab w:val="left" w:pos="567"/>
        </w:tabs>
        <w:spacing w:line="259" w:lineRule="auto"/>
        <w:jc w:val="both"/>
        <w:rPr>
          <w:lang w:val="fi-FI"/>
        </w:rPr>
      </w:pPr>
      <w:r>
        <w:rPr>
          <w:lang w:val="fi-FI"/>
        </w:rPr>
        <w:t>22.2.2.11. Tiekėjas atsisako pašalinti arba nepašalina Prekių trūkumų per Pirkėjo nustatytus protingus terminus;</w:t>
      </w:r>
    </w:p>
    <w:p w14:paraId="000006D4">
      <w:pPr>
        <w:tabs>
          <w:tab w:val="left" w:pos="567"/>
        </w:tabs>
        <w:spacing w:line="259" w:lineRule="auto"/>
        <w:jc w:val="both"/>
        <w:rPr>
          <w:lang w:val="fi-FI"/>
        </w:rPr>
      </w:pPr>
      <w:r>
        <w:rPr>
          <w:lang w:val="fi-FI"/>
        </w:rPr>
        <w:t>22.2.2.12. Tiekėjas pažeidžia Sutartį arba įstatymus bei kitus teisės aktus ir per Pirkėjo rašytinėje pretenzijoje nurodytą terminą neištaiso pažeidimo.</w:t>
      </w:r>
    </w:p>
    <w:p w14:paraId="000006D5">
      <w:pPr>
        <w:tabs>
          <w:tab w:val="left" w:pos="567"/>
        </w:tabs>
        <w:spacing w:line="259" w:lineRule="auto"/>
        <w:jc w:val="both"/>
        <w:rPr>
          <w:lang w:val="fi-FI"/>
        </w:rPr>
      </w:pPr>
      <w:r>
        <w:rPr>
          <w:lang w:val="fi-FI"/>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000006D6">
      <w:pPr>
        <w:tabs>
          <w:tab w:val="left" w:pos="567"/>
        </w:tabs>
        <w:spacing w:line="259" w:lineRule="auto"/>
        <w:jc w:val="both"/>
        <w:rPr>
          <w:lang w:val="fi-FI"/>
        </w:rPr>
      </w:pPr>
      <w:r>
        <w:rPr>
          <w:lang w:val="fi-FI"/>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000006D7">
      <w:pPr>
        <w:tabs>
          <w:tab w:val="left" w:pos="567"/>
        </w:tabs>
        <w:spacing w:line="259" w:lineRule="auto"/>
        <w:jc w:val="both"/>
        <w:rPr>
          <w:lang w:val="fi-FI"/>
        </w:rPr>
      </w:pPr>
      <w:r>
        <w:rPr>
          <w:lang w:val="fi-FI"/>
        </w:rPr>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00006D8">
      <w:pPr>
        <w:tabs>
          <w:tab w:val="left" w:pos="567"/>
        </w:tabs>
        <w:spacing w:line="259" w:lineRule="auto"/>
        <w:jc w:val="both"/>
        <w:rPr>
          <w:lang w:val="fi-FI"/>
        </w:rPr>
      </w:pPr>
      <w:r>
        <w:rPr>
          <w:lang w:val="fi-FI"/>
        </w:rPr>
        <w:t>22.2.6. Pirkėjas turi teisę vienašališkai nutraukti Sutartį ir kitais Specialiosiose sąlygose (jei taikoma) ir įstatymuose bei kituose teisės aktuose įtvirtintais atvejais. </w:t>
      </w:r>
    </w:p>
    <w:p w14:paraId="000006D9">
      <w:pPr>
        <w:tabs>
          <w:tab w:val="left" w:pos="567"/>
        </w:tabs>
        <w:spacing w:line="259" w:lineRule="auto"/>
        <w:jc w:val="both"/>
        <w:rPr>
          <w:lang w:val="fi-FI"/>
        </w:rPr>
      </w:pPr>
      <w:r>
        <w:rPr>
          <w:lang w:val="fi-FI"/>
        </w:rPr>
        <w:t>22.2.7. Sutartis laikoma nutraukta kitą dieną po to, kai pasibaigia įspėjimo apie Sutarties nutraukimą terminas.  </w:t>
      </w:r>
    </w:p>
    <w:p w14:paraId="000006DA">
      <w:pPr>
        <w:tabs>
          <w:tab w:val="left" w:pos="567"/>
        </w:tabs>
        <w:spacing w:line="259" w:lineRule="auto"/>
        <w:jc w:val="both"/>
        <w:rPr>
          <w:lang w:val="fi-FI"/>
        </w:rPr>
      </w:pPr>
      <w:r>
        <w:rPr>
          <w:lang w:val="fi-FI"/>
        </w:rPr>
        <w:t>22.2.8. Tais atvejais, kai Tiekėjas pašalina pažeidimą ar išnyksta aplinkybės, dėl kurių buvo inicijuota Sutarties nutraukimo procedūra, Sutartis negali būti nutraukiama ir įspėjimas apie Sutarties nutraukimą netenka galios, jei Tiekėjas informuoja Pirkėją apie pašalintą pažeidimą ar išnykusias aplinkybes, dėl kurių buvo inicijuota Sutarties nutraukimo procedūra. </w:t>
      </w:r>
    </w:p>
    <w:p w14:paraId="000006DB">
      <w:pPr>
        <w:tabs>
          <w:tab w:val="left" w:pos="567"/>
        </w:tabs>
        <w:spacing w:line="259" w:lineRule="auto"/>
        <w:jc w:val="both"/>
        <w:rPr>
          <w:lang w:val="fi-FI"/>
        </w:rPr>
      </w:pPr>
    </w:p>
    <w:p w14:paraId="000006DC">
      <w:pPr>
        <w:widowControl w:val="0"/>
        <w:tabs>
          <w:tab w:val="left" w:pos="567"/>
          <w:tab w:val="left" w:pos="851"/>
          <w:tab w:val="left" w:pos="992"/>
          <w:tab w:val="left" w:pos="1134"/>
        </w:tabs>
        <w:spacing w:line="259" w:lineRule="auto"/>
        <w:jc w:val="center"/>
        <w:rPr>
          <w:b/>
          <w:lang w:val="fi-FI"/>
        </w:rPr>
      </w:pPr>
      <w:r>
        <w:rPr>
          <w:b/>
          <w:lang w:val="fi-FI"/>
        </w:rPr>
        <w:t>22.3.</w:t>
      </w:r>
      <w:r>
        <w:rPr>
          <w:b/>
          <w:lang w:val="fi-FI"/>
        </w:rPr>
        <w:tab/>
      </w:r>
      <w:r>
        <w:rPr>
          <w:b/>
          <w:lang w:val="fi-FI"/>
        </w:rPr>
        <w:t>Sutarties nutraukimas Tiekėjo iniciatyva</w:t>
      </w:r>
    </w:p>
    <w:p w14:paraId="000006DD">
      <w:pPr>
        <w:widowControl w:val="0"/>
        <w:tabs>
          <w:tab w:val="left" w:pos="567"/>
          <w:tab w:val="left" w:pos="851"/>
          <w:tab w:val="left" w:pos="992"/>
          <w:tab w:val="left" w:pos="1134"/>
        </w:tabs>
        <w:spacing w:line="259" w:lineRule="auto"/>
        <w:jc w:val="both"/>
        <w:rPr>
          <w:b/>
          <w:lang w:val="fi-FI"/>
        </w:rPr>
      </w:pPr>
    </w:p>
    <w:p w14:paraId="000006DE">
      <w:pPr>
        <w:tabs>
          <w:tab w:val="left" w:pos="567"/>
        </w:tabs>
        <w:spacing w:line="259" w:lineRule="auto"/>
        <w:jc w:val="both"/>
        <w:rPr>
          <w:lang w:val="fi-FI"/>
        </w:rPr>
      </w:pPr>
      <w:r>
        <w:rPr>
          <w:lang w:val="fi-FI"/>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be PVM ir Pirkėjas, gavęs Tiekėjo pretenziją, per 30 (trisdešimt) dienų nesumoka Tiekėjui mokėtinų sumų. </w:t>
      </w:r>
    </w:p>
    <w:p w14:paraId="000006DF">
      <w:pPr>
        <w:tabs>
          <w:tab w:val="left" w:pos="567"/>
        </w:tabs>
        <w:spacing w:line="259" w:lineRule="auto"/>
        <w:jc w:val="both"/>
        <w:rPr>
          <w:lang w:val="fi-FI"/>
        </w:rPr>
      </w:pPr>
      <w:r>
        <w:rPr>
          <w:lang w:val="fi-FI"/>
        </w:rPr>
        <w:t>22.3.2. Tiekėjas turi teisę vienašališkai nutraukti Sutartį, įspėjęs Pirkėją raštu prieš ne trumpesnį nei 10 (dešimties) dienų terminą, jeigu:</w:t>
      </w:r>
    </w:p>
    <w:p w14:paraId="000006E0">
      <w:pPr>
        <w:tabs>
          <w:tab w:val="left" w:pos="567"/>
        </w:tabs>
        <w:spacing w:line="259" w:lineRule="auto"/>
        <w:jc w:val="both"/>
        <w:rPr>
          <w:lang w:val="fi-FI"/>
        </w:rPr>
      </w:pPr>
      <w:r>
        <w:rPr>
          <w:lang w:val="fi-FI"/>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00006E1">
      <w:pPr>
        <w:tabs>
          <w:tab w:val="left" w:pos="567"/>
        </w:tabs>
        <w:spacing w:line="259" w:lineRule="auto"/>
        <w:jc w:val="both"/>
        <w:rPr>
          <w:lang w:val="fi-FI"/>
        </w:rPr>
      </w:pPr>
      <w:r>
        <w:rPr>
          <w:lang w:val="fi-FI"/>
        </w:rPr>
        <w:t>22.3.2.2. Pirkėjas pažeidžia Sutartį arba įstatymus bei kitus teisės aktus ir per Tiekėjo rašytinėje pretenzijoje nurodytą terminą neištaiso pažeidimo, išskyrus Bendrųjų sąlygų 22.3.1 punkte nustatytą atvejį. </w:t>
      </w:r>
    </w:p>
    <w:p w14:paraId="000006E2">
      <w:pPr>
        <w:tabs>
          <w:tab w:val="left" w:pos="567"/>
        </w:tabs>
        <w:spacing w:line="259" w:lineRule="auto"/>
        <w:jc w:val="both"/>
        <w:rPr>
          <w:lang w:val="fi-FI"/>
        </w:rPr>
      </w:pPr>
      <w:r>
        <w:rPr>
          <w:lang w:val="fi-FI"/>
        </w:rPr>
        <w:t>22.3.3. Jeigu Bendrųjų sąlygų 22.3.1 punkte nurodytos aplinkybės yra susijusios tik su atskira dalimi arba atskiru Susitarimu, Tiekėjas turi teisę nutraukti Sutartį tik tos dalies atžvilgiu arba nutraukti tik tokį Susitarimą. </w:t>
      </w:r>
    </w:p>
    <w:p w14:paraId="000006E3">
      <w:pPr>
        <w:tabs>
          <w:tab w:val="left" w:pos="567"/>
        </w:tabs>
        <w:spacing w:line="259" w:lineRule="auto"/>
        <w:jc w:val="both"/>
        <w:rPr>
          <w:lang w:val="fi-FI"/>
        </w:rPr>
      </w:pPr>
      <w:r>
        <w:rPr>
          <w:lang w:val="fi-FI"/>
        </w:rPr>
        <w:t>22.3.4. Tiekėjas turi teisę vienašališkai nutraukti Sutartį ir kitais įstatymuose bei kituose teisės aktuose įtvirtintais atvejais. </w:t>
      </w:r>
    </w:p>
    <w:p w14:paraId="000006E4">
      <w:pPr>
        <w:tabs>
          <w:tab w:val="left" w:pos="567"/>
        </w:tabs>
        <w:spacing w:line="259" w:lineRule="auto"/>
        <w:jc w:val="both"/>
        <w:rPr>
          <w:lang w:val="fi-FI"/>
        </w:rPr>
      </w:pPr>
      <w:r>
        <w:rPr>
          <w:lang w:val="fi-FI"/>
        </w:rP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00006E5">
      <w:pPr>
        <w:tabs>
          <w:tab w:val="left" w:pos="567"/>
        </w:tabs>
        <w:spacing w:line="259" w:lineRule="auto"/>
        <w:jc w:val="both"/>
        <w:rPr>
          <w:lang w:val="fi-FI"/>
        </w:rPr>
      </w:pPr>
      <w:r>
        <w:rPr>
          <w:lang w:val="fi-FI"/>
        </w:rPr>
        <w:t>22.3.6. Sutartis laikoma nutraukta kitą dieną po to, kai pasibaigia įspėjimo apie Sutarties nutraukimą terminas. </w:t>
      </w:r>
    </w:p>
    <w:p w14:paraId="000006E6">
      <w:pPr>
        <w:tabs>
          <w:tab w:val="left" w:pos="567"/>
        </w:tabs>
        <w:spacing w:line="259" w:lineRule="auto"/>
        <w:jc w:val="both"/>
        <w:rPr>
          <w:lang w:val="fi-FI"/>
        </w:rPr>
      </w:pPr>
      <w:r>
        <w:rPr>
          <w:lang w:val="fi-FI"/>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apie pašalintą pažeidimą arba išnykusias aplinkybes, dėl kurių buvo inicijuota Sutarties nutraukimo procedūra, Tiekėją. </w:t>
      </w:r>
    </w:p>
    <w:p w14:paraId="000006E7">
      <w:pPr>
        <w:tabs>
          <w:tab w:val="left" w:pos="567"/>
        </w:tabs>
        <w:spacing w:line="259" w:lineRule="auto"/>
        <w:jc w:val="both"/>
        <w:rPr>
          <w:lang w:val="fi-FI"/>
        </w:rPr>
      </w:pPr>
    </w:p>
    <w:p w14:paraId="000006E8">
      <w:pPr>
        <w:keepNext/>
        <w:keepLines/>
        <w:widowControl w:val="0"/>
        <w:tabs>
          <w:tab w:val="left" w:pos="567"/>
          <w:tab w:val="left" w:pos="851"/>
          <w:tab w:val="left" w:pos="992"/>
          <w:tab w:val="left" w:pos="1134"/>
        </w:tabs>
        <w:spacing w:line="259" w:lineRule="auto"/>
        <w:jc w:val="center"/>
        <w:rPr>
          <w:b/>
          <w:lang w:val="fi-FI"/>
        </w:rPr>
      </w:pPr>
      <w:r>
        <w:rPr>
          <w:b/>
          <w:lang w:val="fi-FI"/>
        </w:rPr>
        <w:t>22.4.</w:t>
      </w:r>
      <w:r>
        <w:rPr>
          <w:b/>
          <w:lang w:val="fi-FI"/>
        </w:rPr>
        <w:tab/>
      </w:r>
      <w:r>
        <w:rPr>
          <w:b/>
          <w:lang w:val="fi-FI"/>
        </w:rPr>
        <w:t>Šalių teisės ir pareigos Sutarties nutraukimo atveju</w:t>
      </w:r>
    </w:p>
    <w:p w14:paraId="000006E9">
      <w:pPr>
        <w:keepNext/>
        <w:keepLines/>
        <w:widowControl w:val="0"/>
        <w:tabs>
          <w:tab w:val="left" w:pos="567"/>
          <w:tab w:val="left" w:pos="851"/>
          <w:tab w:val="left" w:pos="992"/>
          <w:tab w:val="left" w:pos="1134"/>
        </w:tabs>
        <w:spacing w:line="259" w:lineRule="auto"/>
        <w:jc w:val="both"/>
        <w:rPr>
          <w:b/>
          <w:lang w:val="fi-FI"/>
        </w:rPr>
      </w:pPr>
    </w:p>
    <w:p w14:paraId="000006EA">
      <w:pPr>
        <w:tabs>
          <w:tab w:val="left" w:pos="567"/>
        </w:tabs>
        <w:spacing w:line="259" w:lineRule="auto"/>
        <w:jc w:val="both"/>
        <w:rPr>
          <w:lang w:val="fi-FI"/>
        </w:rPr>
      </w:pPr>
      <w:r>
        <w:rPr>
          <w:lang w:val="fi-FI"/>
        </w:rPr>
        <w:t>22.4.1. Sutarties nutraukimas neturi įtakos ginčų nagrinėjimo tvarką nustatančių Sutarties sąlygų ir kitų Sutarties sąlygų, kurios pagal savo esmę lieka galioti ir po Sutarties nutraukimo, galiojimui. </w:t>
      </w:r>
    </w:p>
    <w:p w14:paraId="000006EB">
      <w:pPr>
        <w:tabs>
          <w:tab w:val="left" w:pos="567"/>
        </w:tabs>
        <w:spacing w:line="259" w:lineRule="auto"/>
        <w:jc w:val="both"/>
        <w:rPr>
          <w:lang w:val="fi-FI"/>
        </w:rPr>
      </w:pPr>
      <w:r>
        <w:rPr>
          <w:lang w:val="fi-FI"/>
        </w:rPr>
        <w:t>22.4.2. Nutraukus Sutartį, Šalys privalo: </w:t>
      </w:r>
    </w:p>
    <w:p w14:paraId="000006EC">
      <w:pPr>
        <w:tabs>
          <w:tab w:val="left" w:pos="567"/>
        </w:tabs>
        <w:spacing w:line="259" w:lineRule="auto"/>
        <w:jc w:val="both"/>
        <w:rPr>
          <w:lang w:val="fi-FI"/>
        </w:rPr>
      </w:pPr>
      <w:r>
        <w:rPr>
          <w:lang w:val="fi-FI"/>
        </w:rPr>
        <w:t>22.4.2.1. įsitikinti, jog iki Sutarties nutraukimo dienos pristatytos Prekės ir kiti atlikti veiksmai atitinka Sutarties reikalavimus ir Šalys dėl to viena kitai nebereikš pretenzijų; </w:t>
      </w:r>
    </w:p>
    <w:p w14:paraId="000006ED">
      <w:pPr>
        <w:tabs>
          <w:tab w:val="left" w:pos="567"/>
        </w:tabs>
        <w:spacing w:line="259" w:lineRule="auto"/>
        <w:jc w:val="both"/>
        <w:rPr>
          <w:lang w:val="fi-FI"/>
        </w:rPr>
      </w:pPr>
      <w:r>
        <w:rPr>
          <w:lang w:val="fi-FI"/>
        </w:rPr>
        <w:t>22.4.2.2. atsiskaityti už iki Sutarties nutraukimo pristatytas Prekes, atitinkančias Sutarties reikalavimus; </w:t>
      </w:r>
    </w:p>
    <w:p w14:paraId="000006EE">
      <w:pPr>
        <w:tabs>
          <w:tab w:val="left" w:pos="567"/>
        </w:tabs>
        <w:spacing w:line="259" w:lineRule="auto"/>
        <w:jc w:val="both"/>
        <w:rPr>
          <w:lang w:val="fi-FI"/>
        </w:rPr>
      </w:pPr>
      <w:r>
        <w:rPr>
          <w:lang w:val="fi-FI"/>
        </w:rPr>
        <w:t>22.4.2.3. per 10 (dešimt) dienų nuo pranešimo apie Sutarties nutraukimą gavimo dienos ar Susitarimo dėl Sutarties nutraukimo sudarymo dienos</w:t>
      </w:r>
      <w:r>
        <w:rPr>
          <w:b/>
          <w:color w:val="5C5D5D"/>
          <w:lang w:val="fi-FI"/>
        </w:rPr>
        <w:t xml:space="preserve"> </w:t>
      </w:r>
      <w:r>
        <w:rPr>
          <w:lang w:val="fi-FI"/>
        </w:rPr>
        <w:t>perduoti viena kitai visus dokumentus, kuriuos buvo būtina perduoti pagal Sutarties nuostatas. </w:t>
      </w:r>
    </w:p>
    <w:p w14:paraId="000006EF">
      <w:pPr>
        <w:tabs>
          <w:tab w:val="left" w:pos="567"/>
        </w:tabs>
        <w:spacing w:line="259" w:lineRule="auto"/>
        <w:jc w:val="both"/>
        <w:rPr>
          <w:lang w:val="fi-FI"/>
        </w:rPr>
      </w:pPr>
    </w:p>
    <w:p w14:paraId="000006F0">
      <w:pPr>
        <w:keepNext/>
        <w:keepLines/>
        <w:widowControl w:val="0"/>
        <w:tabs>
          <w:tab w:val="left" w:pos="426"/>
          <w:tab w:val="left" w:pos="567"/>
          <w:tab w:val="left" w:pos="851"/>
          <w:tab w:val="left" w:pos="992"/>
          <w:tab w:val="left" w:pos="1134"/>
        </w:tabs>
        <w:spacing w:line="259" w:lineRule="auto"/>
        <w:jc w:val="center"/>
        <w:rPr>
          <w:b/>
          <w:smallCaps/>
          <w:lang w:val="fi-FI"/>
        </w:rPr>
      </w:pPr>
      <w:r>
        <w:rPr>
          <w:b/>
          <w:smallCaps/>
          <w:lang w:val="fi-FI"/>
        </w:rPr>
        <w:t>23.</w:t>
      </w:r>
      <w:r>
        <w:rPr>
          <w:b/>
          <w:smallCaps/>
          <w:lang w:val="fi-FI"/>
        </w:rPr>
        <w:tab/>
      </w:r>
      <w:r>
        <w:rPr>
          <w:b/>
          <w:smallCaps/>
          <w:lang w:val="fi-FI"/>
        </w:rPr>
        <w:t>PREKIŲ MODELIO AR GAMINTOJO KEITIMAS</w:t>
      </w:r>
    </w:p>
    <w:p w14:paraId="000006F1">
      <w:pPr>
        <w:keepNext/>
        <w:keepLines/>
        <w:widowControl w:val="0"/>
        <w:tabs>
          <w:tab w:val="left" w:pos="426"/>
          <w:tab w:val="left" w:pos="567"/>
          <w:tab w:val="left" w:pos="851"/>
          <w:tab w:val="left" w:pos="992"/>
          <w:tab w:val="left" w:pos="1134"/>
        </w:tabs>
        <w:spacing w:line="259" w:lineRule="auto"/>
        <w:jc w:val="both"/>
        <w:rPr>
          <w:b/>
          <w:smallCaps/>
          <w:lang w:val="fi-FI"/>
        </w:rPr>
      </w:pPr>
    </w:p>
    <w:p w14:paraId="000006F2">
      <w:pPr>
        <w:spacing w:line="259" w:lineRule="auto"/>
        <w:jc w:val="both"/>
        <w:rPr>
          <w:lang w:val="fi-FI"/>
        </w:rPr>
      </w:pPr>
      <w:r>
        <w:rPr>
          <w:smallCaps/>
          <w:lang w:val="fi-FI"/>
        </w:rPr>
        <w:t xml:space="preserve">23.1. </w:t>
      </w:r>
      <w:r>
        <w:rPr>
          <w:lang w:val="fi-FI"/>
        </w:rPr>
        <w:t>Tiekėjas turi teisę keisti Prekių modelį ar gamintoją, jei yra visos toliau nurodytos sąlygos:</w:t>
      </w:r>
    </w:p>
    <w:p w14:paraId="000006F3">
      <w:pPr>
        <w:spacing w:line="259" w:lineRule="auto"/>
        <w:jc w:val="both"/>
        <w:rPr>
          <w:lang w:val="fi-FI"/>
        </w:rPr>
      </w:pPr>
      <w:r>
        <w:rPr>
          <w:lang w:val="fi-FI"/>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lang w:val="fi-FI"/>
        </w:rPr>
        <w:t xml:space="preserve">1 </w:t>
      </w:r>
      <w:r>
        <w:rPr>
          <w:lang w:val="fi-FI"/>
        </w:rPr>
        <w:t>dalies nuostatų;</w:t>
      </w:r>
    </w:p>
    <w:p w14:paraId="000006F4">
      <w:pPr>
        <w:spacing w:line="259" w:lineRule="auto"/>
        <w:jc w:val="both"/>
        <w:rPr>
          <w:lang w:val="fi-FI"/>
        </w:rPr>
      </w:pPr>
      <w:r>
        <w:rPr>
          <w:lang w:val="fi-FI"/>
        </w:rPr>
        <w:t xml:space="preserve">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 </w:t>
      </w:r>
    </w:p>
    <w:p w14:paraId="000006F5">
      <w:pPr>
        <w:spacing w:line="259" w:lineRule="auto"/>
        <w:jc w:val="both"/>
        <w:rPr>
          <w:lang w:val="fi-FI"/>
        </w:rPr>
      </w:pPr>
      <w:r>
        <w:rPr>
          <w:lang w:val="fi-FI"/>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highlight w:val="white"/>
          <w:lang w:val="fi-FI"/>
        </w:rPr>
        <w:t>ir lygiavertiškumo ar geresnės kokybės nei šiuo metu tiekiamos Prekės</w:t>
      </w:r>
      <w:r>
        <w:rPr>
          <w:lang w:val="fi-FI"/>
        </w:rPr>
        <w:t>;</w:t>
      </w:r>
    </w:p>
    <w:p w14:paraId="000006F6">
      <w:pPr>
        <w:spacing w:line="259" w:lineRule="auto"/>
        <w:jc w:val="both"/>
        <w:rPr>
          <w:lang w:val="fi-FI"/>
        </w:rPr>
      </w:pPr>
      <w:r>
        <w:rPr>
          <w:lang w:val="fi-FI"/>
        </w:rPr>
        <w:t>23.1.4. Šalys sudarė rašytinį susitarimą prie Sutarties dėl Prekių keitimo.</w:t>
      </w:r>
    </w:p>
    <w:p w14:paraId="000006F7">
      <w:pPr>
        <w:keepNext/>
        <w:keepLines/>
        <w:widowControl w:val="0"/>
        <w:tabs>
          <w:tab w:val="left" w:pos="426"/>
          <w:tab w:val="left" w:pos="567"/>
          <w:tab w:val="left" w:pos="851"/>
          <w:tab w:val="left" w:pos="992"/>
          <w:tab w:val="left" w:pos="1134"/>
        </w:tabs>
        <w:spacing w:line="259" w:lineRule="auto"/>
        <w:jc w:val="both"/>
        <w:rPr>
          <w:lang w:val="fi-FI"/>
        </w:rPr>
      </w:pPr>
      <w:r>
        <w:rPr>
          <w:lang w:val="fi-FI"/>
        </w:rPr>
        <w:t xml:space="preserve">23.2. Šiame Bendrųjų sąlygų skyriuje nurodytu atveju Prekės turi būti pristatytos už ne didesnę nei pasiūlyme nurodytą kainą. </w:t>
      </w:r>
    </w:p>
    <w:p w14:paraId="000006F8">
      <w:pPr>
        <w:keepNext/>
        <w:keepLines/>
        <w:widowControl w:val="0"/>
        <w:tabs>
          <w:tab w:val="left" w:pos="426"/>
          <w:tab w:val="left" w:pos="567"/>
          <w:tab w:val="left" w:pos="851"/>
          <w:tab w:val="left" w:pos="992"/>
          <w:tab w:val="left" w:pos="1134"/>
        </w:tabs>
        <w:spacing w:line="259" w:lineRule="auto"/>
        <w:jc w:val="both"/>
        <w:rPr>
          <w:lang w:val="fi-FI"/>
        </w:rPr>
      </w:pPr>
    </w:p>
    <w:p w14:paraId="000006F9">
      <w:pPr>
        <w:keepNext/>
        <w:keepLines/>
        <w:widowControl w:val="0"/>
        <w:tabs>
          <w:tab w:val="left" w:pos="426"/>
          <w:tab w:val="left" w:pos="567"/>
          <w:tab w:val="left" w:pos="851"/>
          <w:tab w:val="left" w:pos="992"/>
          <w:tab w:val="left" w:pos="1134"/>
        </w:tabs>
        <w:spacing w:line="259" w:lineRule="auto"/>
        <w:ind w:left="360" w:hanging="360"/>
        <w:jc w:val="center"/>
        <w:rPr>
          <w:b/>
          <w:smallCaps/>
          <w:lang w:val="fi-FI"/>
        </w:rPr>
      </w:pPr>
      <w:r>
        <w:rPr>
          <w:b/>
          <w:smallCaps/>
          <w:lang w:val="fi-FI"/>
        </w:rPr>
        <w:t>24.</w:t>
      </w:r>
      <w:r>
        <w:rPr>
          <w:b/>
          <w:smallCaps/>
          <w:lang w:val="fi-FI"/>
        </w:rPr>
        <w:tab/>
      </w:r>
      <w:r>
        <w:rPr>
          <w:b/>
          <w:smallCaps/>
          <w:lang w:val="fi-FI"/>
        </w:rPr>
        <w:t>BENDRAVIMO TVARKA IR KALBA</w:t>
      </w:r>
    </w:p>
    <w:p w14:paraId="000006FA">
      <w:pPr>
        <w:keepNext/>
        <w:keepLines/>
        <w:widowControl w:val="0"/>
        <w:tabs>
          <w:tab w:val="left" w:pos="426"/>
          <w:tab w:val="left" w:pos="567"/>
          <w:tab w:val="left" w:pos="851"/>
          <w:tab w:val="left" w:pos="992"/>
          <w:tab w:val="left" w:pos="1134"/>
        </w:tabs>
        <w:spacing w:line="259" w:lineRule="auto"/>
        <w:ind w:left="360"/>
        <w:jc w:val="both"/>
        <w:rPr>
          <w:b/>
          <w:smallCaps/>
          <w:lang w:val="fi-FI"/>
        </w:rPr>
      </w:pPr>
    </w:p>
    <w:p w14:paraId="000006FB">
      <w:pPr>
        <w:tabs>
          <w:tab w:val="left" w:pos="567"/>
          <w:tab w:val="left" w:pos="851"/>
          <w:tab w:val="left" w:pos="992"/>
          <w:tab w:val="left" w:pos="1134"/>
        </w:tabs>
        <w:spacing w:line="259" w:lineRule="auto"/>
        <w:jc w:val="both"/>
        <w:rPr>
          <w:highlight w:val="white"/>
          <w:lang w:val="fi-FI"/>
        </w:rPr>
      </w:pPr>
      <w:r>
        <w:rPr>
          <w:lang w:val="fi-FI"/>
        </w:rPr>
        <w:t>24.1.</w:t>
      </w:r>
      <w:r>
        <w:rPr>
          <w:lang w:val="fi-FI"/>
        </w:rPr>
        <w:tab/>
      </w:r>
      <w:r>
        <w:rPr>
          <w:lang w:val="fi-FI"/>
        </w:rPr>
        <w:t xml:space="preserve">Sutartis sudaroma lietuvių kalba. Jeigu Sutartis ar kuris nors ją sudarantis dokumentas sudaromas kita kalba arba išverčiamas į kitą kalbą, visais atvejais </w:t>
      </w:r>
      <w:r>
        <w:rPr>
          <w:highlight w:val="white"/>
          <w:lang w:val="fi-FI"/>
        </w:rPr>
        <w:t>autentišku laikomas tik lietuvių kalba parengtas Sutarties tekstas (jei yra neatitikimų, pirmenybė teikiama lietuvių kalba parengtam tekstui).</w:t>
      </w:r>
    </w:p>
    <w:p w14:paraId="000006FC">
      <w:pPr>
        <w:widowControl w:val="0"/>
        <w:tabs>
          <w:tab w:val="left" w:pos="567"/>
          <w:tab w:val="left" w:pos="851"/>
          <w:tab w:val="left" w:pos="992"/>
          <w:tab w:val="left" w:pos="1134"/>
        </w:tabs>
        <w:spacing w:line="259" w:lineRule="auto"/>
        <w:jc w:val="both"/>
        <w:rPr>
          <w:lang w:val="fi-FI"/>
        </w:rPr>
      </w:pPr>
      <w:r>
        <w:rPr>
          <w:lang w:val="fi-FI"/>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00006FD">
      <w:pPr>
        <w:widowControl w:val="0"/>
        <w:tabs>
          <w:tab w:val="left" w:pos="0"/>
          <w:tab w:val="left" w:pos="851"/>
          <w:tab w:val="left" w:pos="992"/>
          <w:tab w:val="left" w:pos="1134"/>
        </w:tabs>
        <w:spacing w:line="259" w:lineRule="auto"/>
        <w:jc w:val="both"/>
        <w:rPr>
          <w:lang w:val="fi-FI"/>
        </w:rPr>
      </w:pPr>
      <w:r>
        <w:rPr>
          <w:lang w:val="fi-FI"/>
        </w:rPr>
        <w:t>24.3. Jeigu pranešimas yra įteikiamas asmeniškai arba siunčiamas paštu ar per kurjerį, jis turi būti įteikiamas pasirašytinai ir laikomas gautu gavimo patvirtinime nurodytą dieną.</w:t>
      </w:r>
    </w:p>
    <w:p w14:paraId="000006FE">
      <w:pPr>
        <w:widowControl w:val="0"/>
        <w:tabs>
          <w:tab w:val="left" w:pos="0"/>
          <w:tab w:val="left" w:pos="851"/>
          <w:tab w:val="left" w:pos="992"/>
          <w:tab w:val="left" w:pos="1134"/>
        </w:tabs>
        <w:spacing w:line="259" w:lineRule="auto"/>
        <w:jc w:val="both"/>
        <w:rPr>
          <w:lang w:val="fi-FI"/>
        </w:rPr>
      </w:pPr>
      <w:r>
        <w:rPr>
          <w:lang w:val="fi-FI"/>
        </w:rPr>
        <w:t xml:space="preserve">24.4. Jeigu pranešimas siunčiamas el. paštu, laikoma, kad Šalis jį gavo kitą darbo dieną. </w:t>
      </w:r>
    </w:p>
    <w:p w14:paraId="000006FF">
      <w:pPr>
        <w:widowControl w:val="0"/>
        <w:tabs>
          <w:tab w:val="left" w:pos="0"/>
          <w:tab w:val="left" w:pos="851"/>
          <w:tab w:val="left" w:pos="992"/>
          <w:tab w:val="left" w:pos="1134"/>
        </w:tabs>
        <w:spacing w:line="259" w:lineRule="auto"/>
        <w:jc w:val="both"/>
        <w:rPr>
          <w:lang w:val="fi-FI"/>
        </w:rPr>
      </w:pPr>
      <w:r>
        <w:rPr>
          <w:lang w:val="fi-FI"/>
        </w:rPr>
        <w:t>24.5. Jeigu pranešimas siunčiamas keliais skirtingais būdais, laikoma, kad gavėjas jį gavo tada, kai jis gavo pirmesnįjį pranešimą.</w:t>
      </w:r>
    </w:p>
    <w:p w14:paraId="00000700">
      <w:pPr>
        <w:widowControl w:val="0"/>
        <w:tabs>
          <w:tab w:val="left" w:pos="0"/>
          <w:tab w:val="left" w:pos="851"/>
          <w:tab w:val="left" w:pos="992"/>
          <w:tab w:val="left" w:pos="1134"/>
        </w:tabs>
        <w:spacing w:line="259" w:lineRule="auto"/>
        <w:jc w:val="both"/>
        <w:rPr>
          <w:lang w:val="fi-FI"/>
        </w:rPr>
      </w:pPr>
    </w:p>
    <w:p w14:paraId="00000701">
      <w:pPr>
        <w:keepNext/>
        <w:keepLines/>
        <w:widowControl w:val="0"/>
        <w:tabs>
          <w:tab w:val="left" w:pos="426"/>
          <w:tab w:val="left" w:pos="567"/>
          <w:tab w:val="left" w:pos="851"/>
          <w:tab w:val="left" w:pos="992"/>
          <w:tab w:val="left" w:pos="1134"/>
        </w:tabs>
        <w:spacing w:line="259" w:lineRule="auto"/>
        <w:ind w:left="360" w:hanging="360"/>
        <w:jc w:val="center"/>
        <w:rPr>
          <w:b/>
          <w:smallCaps/>
          <w:lang w:val="fi-FI"/>
        </w:rPr>
      </w:pPr>
      <w:r>
        <w:rPr>
          <w:b/>
          <w:smallCaps/>
          <w:lang w:val="fi-FI"/>
        </w:rPr>
        <w:t>25.</w:t>
      </w:r>
      <w:r>
        <w:rPr>
          <w:b/>
          <w:smallCaps/>
          <w:lang w:val="fi-FI"/>
        </w:rPr>
        <w:tab/>
      </w:r>
      <w:r>
        <w:rPr>
          <w:b/>
          <w:smallCaps/>
          <w:lang w:val="fi-FI"/>
        </w:rPr>
        <w:t>PRETENZIJOS IR GINČŲ SPRENDIMAS</w:t>
      </w:r>
    </w:p>
    <w:p w14:paraId="00000702">
      <w:pPr>
        <w:keepNext/>
        <w:keepLines/>
        <w:widowControl w:val="0"/>
        <w:tabs>
          <w:tab w:val="left" w:pos="426"/>
          <w:tab w:val="left" w:pos="567"/>
          <w:tab w:val="left" w:pos="851"/>
          <w:tab w:val="left" w:pos="992"/>
          <w:tab w:val="left" w:pos="1134"/>
        </w:tabs>
        <w:spacing w:line="259" w:lineRule="auto"/>
        <w:ind w:left="360"/>
        <w:jc w:val="both"/>
        <w:rPr>
          <w:b/>
          <w:smallCaps/>
          <w:lang w:val="fi-FI"/>
        </w:rPr>
      </w:pPr>
    </w:p>
    <w:p w14:paraId="00000703">
      <w:pPr>
        <w:widowControl w:val="0"/>
        <w:tabs>
          <w:tab w:val="left" w:pos="0"/>
          <w:tab w:val="left" w:pos="851"/>
          <w:tab w:val="left" w:pos="992"/>
          <w:tab w:val="left" w:pos="1134"/>
        </w:tabs>
        <w:spacing w:line="259" w:lineRule="auto"/>
        <w:jc w:val="both"/>
        <w:rPr>
          <w:lang w:val="fi-FI"/>
        </w:rPr>
      </w:pPr>
      <w:r>
        <w:rPr>
          <w:lang w:val="fi-FI"/>
        </w:rPr>
        <w:t>25.1. Bet kokie ginčai, nesutarimai ar reikalavimai, kylantys iš Sutarties arba susiję su Sutartimi, jos pažeidimu, nutraukimu ar galiojimu, visų pirma privalo būti sprendžiami derybomis tarp Šalių vadovų arba jų įgaliotų asmenų.</w:t>
      </w:r>
    </w:p>
    <w:p w14:paraId="00000704">
      <w:pPr>
        <w:widowControl w:val="0"/>
        <w:tabs>
          <w:tab w:val="left" w:pos="142"/>
          <w:tab w:val="left" w:pos="851"/>
          <w:tab w:val="left" w:pos="992"/>
          <w:tab w:val="left" w:pos="1134"/>
        </w:tabs>
        <w:spacing w:line="259" w:lineRule="auto"/>
        <w:jc w:val="both"/>
        <w:rPr>
          <w:lang w:val="fi-FI"/>
        </w:rPr>
      </w:pPr>
      <w:r>
        <w:rPr>
          <w:lang w:val="fi-FI"/>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00000705">
      <w:pPr>
        <w:widowControl w:val="0"/>
        <w:tabs>
          <w:tab w:val="left" w:pos="426"/>
          <w:tab w:val="left" w:pos="567"/>
          <w:tab w:val="left" w:pos="709"/>
          <w:tab w:val="left" w:pos="851"/>
          <w:tab w:val="left" w:pos="992"/>
          <w:tab w:val="left" w:pos="1134"/>
        </w:tabs>
        <w:spacing w:line="259" w:lineRule="auto"/>
        <w:jc w:val="both"/>
        <w:rPr>
          <w:lang w:val="fi-FI"/>
        </w:rPr>
      </w:pPr>
      <w:r>
        <w:rPr>
          <w:lang w:val="fi-FI"/>
        </w:rPr>
        <w:t>25.3. Kilę ginčai nesudaro pagrindo Šalims atsisakyti vykdyti savo prievoles pagal Sutartį.</w:t>
      </w:r>
    </w:p>
    <w:p w14:paraId="00000706">
      <w:pPr>
        <w:keepNext/>
        <w:keepLines/>
        <w:pBdr>
          <w:top w:val="none" w:color="000000" w:sz="0" w:space="0"/>
          <w:left w:val="none" w:color="000000" w:sz="0" w:space="0"/>
          <w:bottom w:val="none" w:color="000000" w:sz="0" w:space="0"/>
          <w:right w:val="none" w:color="000000" w:sz="0" w:space="0"/>
          <w:between w:val="none" w:color="000000" w:sz="0" w:space="0"/>
        </w:pBdr>
        <w:tabs>
          <w:tab w:val="left" w:pos="426"/>
        </w:tabs>
        <w:spacing w:line="256" w:lineRule="auto"/>
        <w:jc w:val="both"/>
        <w:rPr>
          <w:b/>
          <w:smallCaps/>
          <w:color w:val="000000"/>
          <w:lang w:val="fi-FI"/>
        </w:rPr>
      </w:pPr>
    </w:p>
    <w:p w14:paraId="00000707">
      <w:pPr>
        <w:pageBreakBefore/>
        <w:pBdr>
          <w:top w:val="none" w:color="000000" w:sz="0" w:space="0"/>
          <w:left w:val="none" w:color="000000" w:sz="0" w:space="0"/>
          <w:bottom w:val="none" w:color="000000" w:sz="0" w:space="0"/>
          <w:right w:val="none" w:color="000000" w:sz="0" w:space="0"/>
          <w:between w:val="none" w:color="000000" w:sz="0" w:space="0"/>
        </w:pBdr>
        <w:rPr>
          <w:color w:val="000000"/>
          <w:lang w:val="fi-FI"/>
        </w:rPr>
      </w:pPr>
    </w:p>
    <w:p w14:paraId="00000708">
      <w:pPr>
        <w:pBdr>
          <w:top w:val="none" w:color="000000" w:sz="0" w:space="0"/>
          <w:left w:val="none" w:color="000000" w:sz="0" w:space="0"/>
          <w:bottom w:val="none" w:color="000000" w:sz="0" w:space="0"/>
          <w:right w:val="none" w:color="000000" w:sz="0" w:space="0"/>
          <w:between w:val="none" w:color="000000" w:sz="0" w:space="0"/>
        </w:pBdr>
        <w:rPr>
          <w:color w:val="000000"/>
          <w:lang w:val="fi-FI"/>
        </w:rPr>
      </w:pPr>
    </w:p>
    <w:p w14:paraId="00000709">
      <w:pPr>
        <w:pBdr>
          <w:top w:val="none" w:color="000000" w:sz="0" w:space="0"/>
          <w:left w:val="none" w:color="000000" w:sz="0" w:space="0"/>
          <w:bottom w:val="none" w:color="000000" w:sz="0" w:space="0"/>
          <w:right w:val="none" w:color="000000" w:sz="0" w:space="0"/>
          <w:between w:val="none" w:color="000000" w:sz="0" w:space="0"/>
        </w:pBdr>
        <w:rPr>
          <w:b/>
          <w:smallCaps/>
          <w:color w:val="000000"/>
          <w:lang w:val="fi-FI"/>
        </w:rPr>
      </w:pPr>
    </w:p>
    <w:p w14:paraId="0000070A">
      <w:pPr>
        <w:pBdr>
          <w:top w:val="none" w:color="000000" w:sz="0" w:space="0"/>
          <w:left w:val="none" w:color="000000" w:sz="0" w:space="0"/>
          <w:bottom w:val="none" w:color="000000" w:sz="0" w:space="0"/>
          <w:right w:val="none" w:color="000000" w:sz="0" w:space="0"/>
          <w:between w:val="none" w:color="000000" w:sz="0" w:space="0"/>
        </w:pBdr>
        <w:jc w:val="center"/>
        <w:rPr>
          <w:smallCaps/>
          <w:color w:val="000000"/>
          <w:lang w:val="fi-FI"/>
        </w:rPr>
      </w:pPr>
      <w:bookmarkStart w:id="32" w:name="_GoBack"/>
      <w:bookmarkEnd w:id="32"/>
      <w:r>
        <w:rPr>
          <w:smallCaps/>
          <w:color w:val="000000"/>
          <w:lang w:val="fi-FI"/>
        </w:rPr>
        <w:t>PIRKIMO-PARDAVIMO SUTARTIES PIRKIMO-PARDAVIMO SUTARTIES SPECIALIOSIOS SĄLYGOS</w:t>
      </w:r>
    </w:p>
    <w:p w14:paraId="0000070B">
      <w:pPr>
        <w:pBdr>
          <w:top w:val="none" w:color="000000" w:sz="0" w:space="0"/>
          <w:left w:val="none" w:color="000000" w:sz="0" w:space="0"/>
          <w:bottom w:val="none" w:color="000000" w:sz="0" w:space="0"/>
          <w:right w:val="none" w:color="000000" w:sz="0" w:space="0"/>
          <w:between w:val="none" w:color="000000" w:sz="0" w:space="0"/>
        </w:pBdr>
        <w:rPr>
          <w:color w:val="000000"/>
          <w:lang w:val="fi-FI"/>
        </w:rPr>
      </w:pPr>
    </w:p>
    <w:tbl>
      <w:tblPr>
        <w:tblStyle w:val="150"/>
        <w:tblW w:w="9558" w:type="dxa"/>
        <w:tblInd w:w="0" w:type="dxa"/>
        <w:tblLayout w:type="fixed"/>
        <w:tblCellMar>
          <w:top w:w="0" w:type="dxa"/>
          <w:left w:w="10" w:type="dxa"/>
          <w:bottom w:w="0" w:type="dxa"/>
          <w:right w:w="10" w:type="dxa"/>
        </w:tblCellMar>
      </w:tblPr>
      <w:tblGrid>
        <w:gridCol w:w="2448"/>
        <w:gridCol w:w="2177"/>
        <w:gridCol w:w="2362"/>
        <w:gridCol w:w="2571"/>
      </w:tblGrid>
      <w:tr w14:paraId="6847F54A">
        <w:tblPrEx>
          <w:tblCellMar>
            <w:top w:w="0" w:type="dxa"/>
            <w:left w:w="10" w:type="dxa"/>
            <w:bottom w:w="0" w:type="dxa"/>
            <w:right w:w="10" w:type="dxa"/>
          </w:tblCellMar>
        </w:tblPrEx>
        <w:tc>
          <w:tcPr>
            <w:tcW w:w="24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0C">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Sutarties pavadinimas</w:t>
            </w:r>
          </w:p>
        </w:tc>
        <w:tc>
          <w:tcPr>
            <w:tcW w:w="7110"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0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NAUDOTŲ DYZELINU VAROMŲ AUTOBUSŲ PIRKIMO-PARDAVIMO SUTARTIS</w:t>
            </w:r>
          </w:p>
        </w:tc>
      </w:tr>
      <w:tr w14:paraId="2B99F7DE">
        <w:tblPrEx>
          <w:tblCellMar>
            <w:top w:w="0" w:type="dxa"/>
            <w:left w:w="10" w:type="dxa"/>
            <w:bottom w:w="0" w:type="dxa"/>
            <w:right w:w="10" w:type="dxa"/>
          </w:tblCellMar>
        </w:tblPrEx>
        <w:tc>
          <w:tcPr>
            <w:tcW w:w="244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10">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Sutarties data</w:t>
            </w:r>
          </w:p>
        </w:tc>
        <w:tc>
          <w:tcPr>
            <w:tcW w:w="217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11">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c>
          <w:tcPr>
            <w:tcW w:w="236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12">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Sutarties numeris</w:t>
            </w:r>
          </w:p>
        </w:tc>
        <w:tc>
          <w:tcPr>
            <w:tcW w:w="257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13">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bl>
    <w:p w14:paraId="00000714">
      <w:pPr>
        <w:pBdr>
          <w:top w:val="none" w:color="000000" w:sz="0" w:space="0"/>
          <w:left w:val="none" w:color="000000" w:sz="0" w:space="0"/>
          <w:bottom w:val="none" w:color="000000" w:sz="0" w:space="0"/>
          <w:right w:val="none" w:color="000000" w:sz="0" w:space="0"/>
          <w:between w:val="none" w:color="000000" w:sz="0" w:space="0"/>
        </w:pBdr>
        <w:jc w:val="both"/>
        <w:rPr>
          <w:color w:val="000000"/>
        </w:rPr>
      </w:pPr>
    </w:p>
    <w:tbl>
      <w:tblPr>
        <w:tblStyle w:val="151"/>
        <w:tblW w:w="9558" w:type="dxa"/>
        <w:tblInd w:w="0" w:type="dxa"/>
        <w:tblLayout w:type="fixed"/>
        <w:tblCellMar>
          <w:top w:w="0" w:type="dxa"/>
          <w:left w:w="10" w:type="dxa"/>
          <w:bottom w:w="0" w:type="dxa"/>
          <w:right w:w="10" w:type="dxa"/>
        </w:tblCellMar>
      </w:tblPr>
      <w:tblGrid>
        <w:gridCol w:w="2808"/>
        <w:gridCol w:w="3240"/>
        <w:gridCol w:w="3510"/>
      </w:tblGrid>
      <w:tr w14:paraId="4CC6CD46">
        <w:tblPrEx>
          <w:tblCellMar>
            <w:top w:w="0" w:type="dxa"/>
            <w:left w:w="10" w:type="dxa"/>
            <w:bottom w:w="0" w:type="dxa"/>
            <w:right w:w="10" w:type="dxa"/>
          </w:tblCellMar>
        </w:tblPrEx>
        <w:tc>
          <w:tcPr>
            <w:tcW w:w="9558"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15">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1. SUTARTIES ŠALYS</w:t>
            </w:r>
          </w:p>
        </w:tc>
      </w:tr>
      <w:tr w14:paraId="01BDD72B">
        <w:tblPrEx>
          <w:tblCellMar>
            <w:top w:w="0" w:type="dxa"/>
            <w:left w:w="10" w:type="dxa"/>
            <w:bottom w:w="0" w:type="dxa"/>
            <w:right w:w="10" w:type="dxa"/>
          </w:tblCellMar>
        </w:tblPrEx>
        <w:tc>
          <w:tcPr>
            <w:tcW w:w="2808"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18">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p>
          <w:p w14:paraId="00000719">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p>
          <w:p w14:paraId="0000071A">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p>
          <w:p w14:paraId="0000071B">
            <w:pPr>
              <w:pBdr>
                <w:top w:val="none" w:color="000000" w:sz="0" w:space="0"/>
                <w:left w:val="none" w:color="000000" w:sz="0" w:space="0"/>
                <w:bottom w:val="none" w:color="000000" w:sz="0" w:space="0"/>
                <w:right w:val="none" w:color="000000" w:sz="0" w:space="0"/>
                <w:between w:val="none" w:color="000000" w:sz="0" w:space="0"/>
              </w:pBdr>
              <w:rPr>
                <w:b/>
                <w:color w:val="000000"/>
              </w:rPr>
            </w:pPr>
          </w:p>
          <w:p w14:paraId="0000071C">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1.1. Pirkėjas</w:t>
            </w: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1D">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1.1.1. Pavadinimas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1E">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6AF42CD7">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1F">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0">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1.1.2. Juridinio asmens kodas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1">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346911FE">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2">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3">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1.1.3. Adresas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4">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3DE41E9B">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5">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6">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1.1.4. PVM mokėtojo kodas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7">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7376F846">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8">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9">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1.1.5. Atsiskaitomoji sąskaita</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A">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 xml:space="preserve">  </w:t>
            </w:r>
          </w:p>
        </w:tc>
      </w:tr>
      <w:tr w14:paraId="361F78B6">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B">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C">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1.1.6. Bankas, banko kodas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D">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7066AB84">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E">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2F">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1.1.7. Telefonas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0">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2DCED925">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1">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2">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1.1.8. El. paštas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3">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736D3362">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4">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5">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1.1.9. Šalies atstovas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6">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3F5939BA">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7">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8">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1.1.10. Atstovavimo pagrindas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Įstatai</w:t>
            </w:r>
          </w:p>
        </w:tc>
      </w:tr>
      <w:tr w14:paraId="5D08699D">
        <w:tblPrEx>
          <w:tblCellMar>
            <w:top w:w="0" w:type="dxa"/>
            <w:left w:w="10" w:type="dxa"/>
            <w:bottom w:w="0" w:type="dxa"/>
            <w:right w:w="10" w:type="dxa"/>
          </w:tblCellMar>
        </w:tblPrEx>
        <w:tc>
          <w:tcPr>
            <w:tcW w:w="2808" w:type="dxa"/>
            <w:vMerge w:val="restart"/>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A">
            <w:pPr>
              <w:pBdr>
                <w:top w:val="none" w:color="000000" w:sz="0" w:space="0"/>
                <w:left w:val="none" w:color="000000" w:sz="0" w:space="0"/>
                <w:bottom w:val="none" w:color="000000" w:sz="0" w:space="0"/>
                <w:right w:val="none" w:color="000000" w:sz="0" w:space="0"/>
                <w:between w:val="none" w:color="000000" w:sz="0" w:space="0"/>
              </w:pBdr>
              <w:rPr>
                <w:b/>
                <w:color w:val="000000"/>
              </w:rPr>
            </w:pPr>
          </w:p>
          <w:p w14:paraId="0000073B">
            <w:pPr>
              <w:pBdr>
                <w:top w:val="none" w:color="000000" w:sz="0" w:space="0"/>
                <w:left w:val="none" w:color="000000" w:sz="0" w:space="0"/>
                <w:bottom w:val="none" w:color="000000" w:sz="0" w:space="0"/>
                <w:right w:val="none" w:color="000000" w:sz="0" w:space="0"/>
                <w:between w:val="none" w:color="000000" w:sz="0" w:space="0"/>
              </w:pBdr>
              <w:rPr>
                <w:b/>
                <w:color w:val="000000"/>
              </w:rPr>
            </w:pPr>
          </w:p>
          <w:p w14:paraId="0000073C">
            <w:pPr>
              <w:pBdr>
                <w:top w:val="none" w:color="000000" w:sz="0" w:space="0"/>
                <w:left w:val="none" w:color="000000" w:sz="0" w:space="0"/>
                <w:bottom w:val="none" w:color="000000" w:sz="0" w:space="0"/>
                <w:right w:val="none" w:color="000000" w:sz="0" w:space="0"/>
                <w:between w:val="none" w:color="000000" w:sz="0" w:space="0"/>
              </w:pBdr>
              <w:rPr>
                <w:b/>
                <w:color w:val="000000"/>
              </w:rPr>
            </w:pPr>
          </w:p>
          <w:p w14:paraId="0000073D">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1.2. Tiekėjas</w:t>
            </w:r>
          </w:p>
          <w:p w14:paraId="0000073E">
            <w:pPr>
              <w:pBdr>
                <w:top w:val="none" w:color="000000" w:sz="0" w:space="0"/>
                <w:left w:val="none" w:color="000000" w:sz="0" w:space="0"/>
                <w:bottom w:val="none" w:color="000000" w:sz="0" w:space="0"/>
                <w:right w:val="none" w:color="000000" w:sz="0" w:space="0"/>
                <w:between w:val="none" w:color="000000" w:sz="0" w:space="0"/>
              </w:pBdr>
              <w:rPr>
                <w:b/>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3F">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1.2.1. Pavadinimas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0">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r w14:paraId="26C88C18">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1">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2">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1.2.2. Juridinio asmens kodas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3">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r w14:paraId="76B3494F">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4">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5">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1.2.3. Adresas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6">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r w14:paraId="57105EAC">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7">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8">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1.2.4. PVM mokėtojo kodas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9">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r w14:paraId="2A0CD9CE">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A">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B">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1.2.5. Atsiskaitomoji sąskaita</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C">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r w14:paraId="4A0C8E33">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D">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E">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1.2.6. Bankas, banko kodas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4F">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r w14:paraId="5EB8169D">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0">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1">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1.2.7. Telefonas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2">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r w14:paraId="574867F0">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3">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4">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1.2.8. El. paštas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5">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r w14:paraId="0FC85967">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6">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7">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1.2.9. Šalies atstovas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8">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r w14:paraId="141A7786">
        <w:tblPrEx>
          <w:tblCellMar>
            <w:top w:w="0" w:type="dxa"/>
            <w:left w:w="10" w:type="dxa"/>
            <w:bottom w:w="0" w:type="dxa"/>
            <w:right w:w="10" w:type="dxa"/>
          </w:tblCellMar>
        </w:tblPrEx>
        <w:tc>
          <w:tcPr>
            <w:tcW w:w="2808" w:type="dxa"/>
            <w:vMerge w:val="continue"/>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9">
            <w:pPr>
              <w:widowControl w:val="0"/>
              <w:spacing w:line="276" w:lineRule="auto"/>
              <w:rPr>
                <w:color w:val="000000"/>
              </w:rPr>
            </w:pPr>
          </w:p>
        </w:tc>
        <w:tc>
          <w:tcPr>
            <w:tcW w:w="32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A">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1.2.10. Atstovavimo pagrindas</w:t>
            </w:r>
          </w:p>
        </w:tc>
        <w:tc>
          <w:tcPr>
            <w:tcW w:w="35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5B">
            <w:pPr>
              <w:pBdr>
                <w:top w:val="none" w:color="000000" w:sz="0" w:space="0"/>
                <w:left w:val="none" w:color="000000" w:sz="0" w:space="0"/>
                <w:bottom w:val="none" w:color="000000" w:sz="0" w:space="0"/>
                <w:right w:val="none" w:color="000000" w:sz="0" w:space="0"/>
                <w:between w:val="none" w:color="000000" w:sz="0" w:space="0"/>
              </w:pBdr>
              <w:jc w:val="center"/>
              <w:rPr>
                <w:color w:val="000000"/>
              </w:rPr>
            </w:pPr>
          </w:p>
        </w:tc>
      </w:tr>
    </w:tbl>
    <w:p w14:paraId="0000075C">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75D">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75E">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75F">
      <w:pPr>
        <w:pBdr>
          <w:top w:val="none" w:color="000000" w:sz="0" w:space="0"/>
          <w:left w:val="none" w:color="000000" w:sz="0" w:space="0"/>
          <w:bottom w:val="none" w:color="000000" w:sz="0" w:space="0"/>
          <w:right w:val="none" w:color="000000" w:sz="0" w:space="0"/>
          <w:between w:val="none" w:color="000000" w:sz="0" w:space="0"/>
        </w:pBdr>
        <w:jc w:val="both"/>
        <w:rPr>
          <w:color w:val="000000"/>
        </w:rPr>
      </w:pPr>
    </w:p>
    <w:tbl>
      <w:tblPr>
        <w:tblStyle w:val="152"/>
        <w:tblW w:w="9482" w:type="dxa"/>
        <w:tblInd w:w="0" w:type="dxa"/>
        <w:tblLayout w:type="fixed"/>
        <w:tblCellMar>
          <w:top w:w="0" w:type="dxa"/>
          <w:left w:w="10" w:type="dxa"/>
          <w:bottom w:w="0" w:type="dxa"/>
          <w:right w:w="10" w:type="dxa"/>
        </w:tblCellMar>
      </w:tblPr>
      <w:tblGrid>
        <w:gridCol w:w="2532"/>
        <w:gridCol w:w="172"/>
        <w:gridCol w:w="6778"/>
      </w:tblGrid>
      <w:tr w14:paraId="5667FE82">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60">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2. ATSAKINGI ASMENYS</w:t>
            </w:r>
          </w:p>
        </w:tc>
      </w:tr>
      <w:tr w14:paraId="6E9BAF38">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63">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2.1. Pirkėjo kontaktinis (-iai) asmuo (-ys), atsakingas (-i) už Sutarties vykdymą, Prekių priėmimą, Sąskaitų per informacinę sistemą SABIS priėmimą</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65">
            <w:pPr>
              <w:pBdr>
                <w:top w:val="none" w:color="000000" w:sz="0" w:space="0"/>
                <w:left w:val="none" w:color="000000" w:sz="0" w:space="0"/>
                <w:bottom w:val="none" w:color="000000" w:sz="0" w:space="0"/>
                <w:right w:val="none" w:color="000000" w:sz="0" w:space="0"/>
                <w:between w:val="none" w:color="000000" w:sz="0" w:space="0"/>
              </w:pBdr>
              <w:rPr>
                <w:color w:val="4472C4"/>
              </w:rPr>
            </w:pPr>
          </w:p>
        </w:tc>
      </w:tr>
      <w:tr w14:paraId="659DEA0F">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66">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2.2. Tiekėjo kontaktinis (-iai) asmuo (-ys), atsakingas (-i) už Sutarties vykdymą</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68">
            <w:pPr>
              <w:pBdr>
                <w:top w:val="none" w:color="000000" w:sz="0" w:space="0"/>
                <w:left w:val="none" w:color="000000" w:sz="0" w:space="0"/>
                <w:bottom w:val="none" w:color="000000" w:sz="0" w:space="0"/>
                <w:right w:val="none" w:color="000000" w:sz="0" w:space="0"/>
                <w:between w:val="none" w:color="000000" w:sz="0" w:space="0"/>
              </w:pBdr>
              <w:rPr>
                <w:color w:val="4472C4"/>
              </w:rPr>
            </w:pPr>
          </w:p>
          <w:p w14:paraId="00000769">
            <w:pPr>
              <w:pBdr>
                <w:top w:val="none" w:color="000000" w:sz="0" w:space="0"/>
                <w:left w:val="none" w:color="000000" w:sz="0" w:space="0"/>
                <w:bottom w:val="none" w:color="000000" w:sz="0" w:space="0"/>
                <w:right w:val="none" w:color="000000" w:sz="0" w:space="0"/>
                <w:between w:val="none" w:color="000000" w:sz="0" w:space="0"/>
              </w:pBdr>
              <w:rPr>
                <w:color w:val="4472C4"/>
              </w:rPr>
            </w:pPr>
          </w:p>
          <w:p w14:paraId="0000076A">
            <w:pPr>
              <w:pBdr>
                <w:top w:val="none" w:color="000000" w:sz="0" w:space="0"/>
                <w:left w:val="none" w:color="000000" w:sz="0" w:space="0"/>
                <w:bottom w:val="none" w:color="000000" w:sz="0" w:space="0"/>
                <w:right w:val="none" w:color="000000" w:sz="0" w:space="0"/>
                <w:between w:val="none" w:color="000000" w:sz="0" w:space="0"/>
              </w:pBdr>
              <w:rPr>
                <w:color w:val="4472C4"/>
              </w:rPr>
            </w:pPr>
          </w:p>
          <w:p w14:paraId="0000076B">
            <w:pPr>
              <w:pBdr>
                <w:top w:val="none" w:color="000000" w:sz="0" w:space="0"/>
                <w:left w:val="none" w:color="000000" w:sz="0" w:space="0"/>
                <w:bottom w:val="none" w:color="000000" w:sz="0" w:space="0"/>
                <w:right w:val="none" w:color="000000" w:sz="0" w:space="0"/>
                <w:between w:val="none" w:color="000000" w:sz="0" w:space="0"/>
              </w:pBdr>
              <w:rPr>
                <w:color w:val="4472C4"/>
              </w:rPr>
            </w:pPr>
          </w:p>
          <w:p w14:paraId="0000076C">
            <w:pPr>
              <w:pBdr>
                <w:top w:val="none" w:color="000000" w:sz="0" w:space="0"/>
                <w:left w:val="none" w:color="000000" w:sz="0" w:space="0"/>
                <w:bottom w:val="none" w:color="000000" w:sz="0" w:space="0"/>
                <w:right w:val="none" w:color="000000" w:sz="0" w:space="0"/>
                <w:between w:val="none" w:color="000000" w:sz="0" w:space="0"/>
              </w:pBdr>
              <w:rPr>
                <w:color w:val="4472C4"/>
              </w:rPr>
            </w:pPr>
          </w:p>
          <w:p w14:paraId="0000076D">
            <w:pPr>
              <w:pBdr>
                <w:top w:val="none" w:color="000000" w:sz="0" w:space="0"/>
                <w:left w:val="none" w:color="000000" w:sz="0" w:space="0"/>
                <w:bottom w:val="none" w:color="000000" w:sz="0" w:space="0"/>
                <w:right w:val="none" w:color="000000" w:sz="0" w:space="0"/>
                <w:between w:val="none" w:color="000000" w:sz="0" w:space="0"/>
              </w:pBdr>
              <w:rPr>
                <w:color w:val="4472C4"/>
              </w:rPr>
            </w:pPr>
          </w:p>
        </w:tc>
      </w:tr>
      <w:tr w14:paraId="76291EE2">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6E">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3. SUTARTIES DALYKAS</w:t>
            </w:r>
          </w:p>
        </w:tc>
      </w:tr>
      <w:tr w14:paraId="2292B159">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71">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 xml:space="preserve">3.1. Sutarties dalykas </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73">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Tiekėjas įsipareigoja Sutartyje numatytomis sąlygomis parduoti Pirkėjui 3 (trys) autobusus pagal nurodytus techninius reikalavimus (toliau – prekės).</w:t>
            </w:r>
          </w:p>
          <w:p w14:paraId="00000774">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Specifikacijų ir techniniai reikalavimai tiekiamoms Prekėms nustatyti Sutarties priede Nr. 1 „Techninė specifikacija“ (toliau – Techninė specifikacija). Konkretus modelis ir konkretus parametrai pateikti su pasiūlymu priede Nr. 2 „Pasiūlymas“.</w:t>
            </w:r>
          </w:p>
          <w:p w14:paraId="00000775">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70AA76E0">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76">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3.2. Informacija apie Europos Sąjungos lėšomis finansuojamą projektą arba kitą projektą</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78">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Ne</w:t>
            </w:r>
          </w:p>
        </w:tc>
      </w:tr>
      <w:tr w14:paraId="569F5D85">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79">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3.3. Pirkimo numeris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7B">
            <w:pPr>
              <w:pBdr>
                <w:top w:val="none" w:color="000000" w:sz="0" w:space="0"/>
                <w:left w:val="none" w:color="000000" w:sz="0" w:space="0"/>
                <w:bottom w:val="none" w:color="000000" w:sz="0" w:space="0"/>
                <w:right w:val="none" w:color="000000" w:sz="0" w:space="0"/>
                <w:between w:val="none" w:color="000000" w:sz="0" w:space="0"/>
              </w:pBdr>
              <w:jc w:val="both"/>
              <w:rPr>
                <w:color w:val="000000"/>
              </w:rPr>
            </w:pPr>
          </w:p>
        </w:tc>
      </w:tr>
      <w:tr w14:paraId="3AD391C1">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7C">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4. PREKIŲ PRISTATYMO TERMINAI IR PREKIŲ PERDAVIMO - PRIĖMIMO TVARKA</w:t>
            </w:r>
          </w:p>
        </w:tc>
      </w:tr>
      <w:tr w14:paraId="618B7C2B">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7F">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r>
              <w:rPr>
                <w:b/>
                <w:color w:val="000000"/>
                <w:lang w:val="fi-FI"/>
              </w:rPr>
              <w:t>4.1. Prekių pristatymo terminas, kai Prekė (-ės) pristatomos vienu kartu</w:t>
            </w:r>
          </w:p>
          <w:p w14:paraId="00000780">
            <w:pPr>
              <w:pBdr>
                <w:top w:val="none" w:color="000000" w:sz="0" w:space="0"/>
                <w:left w:val="none" w:color="000000" w:sz="0" w:space="0"/>
                <w:bottom w:val="none" w:color="000000" w:sz="0" w:space="0"/>
                <w:right w:val="none" w:color="000000" w:sz="0" w:space="0"/>
                <w:between w:val="none" w:color="000000" w:sz="0" w:space="0"/>
              </w:pBdr>
              <w:rPr>
                <w:b/>
                <w:i/>
                <w:color w:val="000000"/>
                <w:lang w:val="fi-FI"/>
              </w:rPr>
            </w:pP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82">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bookmarkStart w:id="29" w:name="_heading=h.v4b2s9d0ff4j" w:colFirst="0" w:colLast="0"/>
            <w:bookmarkEnd w:id="29"/>
            <w:r>
              <w:rPr>
                <w:color w:val="000000"/>
                <w:lang w:val="fi-FI"/>
              </w:rPr>
              <w:t>Tiekėjas visas Prekes įsipareigoja pristatyti ne vėliau kaip per 3, mėnesius nuo sutartinių įsipareigojimų įsigaliojimo dienos. Autobusai privalomi pristatyti Bažnyčios g. 21, Nmenčinė, Vilniaus rajonas. Su prekėmis Tiekėjas pateiki perdavimo aktą.</w:t>
            </w:r>
          </w:p>
        </w:tc>
      </w:tr>
      <w:tr w14:paraId="6410D300">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83">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r>
              <w:rPr>
                <w:b/>
                <w:color w:val="000000"/>
                <w:lang w:val="fi-FI"/>
              </w:rPr>
              <w:t>4.1. Prekių pristatymo terminai, kai Prekės pristatomos dalimis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85">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Tiekėjas gali pristatyti prekes (autobusus) po vieną autobusą.</w:t>
            </w:r>
          </w:p>
          <w:p w14:paraId="00000786">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Visa apimtimi prekes privaloma pristatyti per </w:t>
            </w:r>
            <w:sdt>
              <w:sdtPr>
                <w:tag w:val="goog_rdk_4"/>
                <w:id w:val="-1076983396"/>
              </w:sdtPr>
              <w:sdtContent/>
            </w:sdt>
            <w:r>
              <w:rPr>
                <w:color w:val="000000"/>
              </w:rPr>
              <w:t>3 (trys) mėnesius nuo sutartries pasirašymo.</w:t>
            </w:r>
          </w:p>
        </w:tc>
      </w:tr>
      <w:tr w14:paraId="747BA34E">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87">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4.2. Prekių pristatymo termino pratęsimas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8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Nepritaikyta</w:t>
            </w:r>
          </w:p>
        </w:tc>
      </w:tr>
      <w:tr w14:paraId="4634CE4A">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8A">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4.3. Užsakymų teikimo tvarka</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8C">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Nepritaikyta</w:t>
            </w:r>
          </w:p>
          <w:p w14:paraId="0000078D">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4B9994D0">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8E">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4.4. Dėl Prekių pristatymo dalimis vertės/apimties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90">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 xml:space="preserve">Pristatymas dalimis leistinas po 1 (vieną autobusą ) Prekę per sutarties prekių pristatymo terminą. </w:t>
            </w:r>
            <w:sdt>
              <w:sdtPr>
                <w:tag w:val="goog_rdk_5"/>
                <w:id w:val="-141505617"/>
              </w:sdtPr>
              <w:sdtContent/>
            </w:sdt>
            <w:r>
              <w:rPr>
                <w:color w:val="000000"/>
              </w:rPr>
              <w:t>Visa apimtis privaloma pristatyti per 3 (trys) mėn.</w:t>
            </w:r>
          </w:p>
          <w:p w14:paraId="00000791">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792">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5DEED0E5">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93">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r>
              <w:rPr>
                <w:b/>
                <w:color w:val="000000"/>
                <w:lang w:val="fi-FI"/>
              </w:rPr>
              <w:t xml:space="preserve">4.5. Kartu su Prekėmis pateikiami dokumentai   </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97">
            <w:pPr>
              <w:pBdr>
                <w:top w:val="none" w:color="000000" w:sz="0" w:space="0"/>
                <w:left w:val="none" w:color="000000" w:sz="0" w:space="0"/>
                <w:bottom w:val="none" w:color="000000" w:sz="0" w:space="0"/>
                <w:right w:val="none" w:color="000000" w:sz="0" w:space="0"/>
                <w:between w:val="none" w:color="000000" w:sz="0" w:space="0"/>
              </w:pBdr>
              <w:tabs>
                <w:tab w:val="left" w:pos="142"/>
                <w:tab w:val="left" w:pos="240"/>
                <w:tab w:val="left" w:pos="425"/>
                <w:tab w:val="left" w:pos="1021"/>
              </w:tabs>
              <w:spacing w:after="200"/>
              <w:ind w:left="142" w:right="107"/>
              <w:jc w:val="both"/>
              <w:rPr>
                <w:color w:val="000000"/>
                <w:lang w:val="fi-FI"/>
              </w:rPr>
            </w:pPr>
            <w:r>
              <w:rPr>
                <w:color w:val="000000"/>
                <w:lang w:val="fi-FI"/>
              </w:rPr>
              <w:t>Kartu su Prekėmis pateikiami šie dokumentai: atitikties techninės specifikacijos reikalavimams deklaracijos, atitikimą reikalavimams patvirtinančius dokumentus, sertifikatai ir standartus patvirtinantys, autobusų registracijos techninis pasai ir instrukcija lietuvių kalba.</w:t>
            </w:r>
          </w:p>
        </w:tc>
      </w:tr>
      <w:tr w14:paraId="2DD0B929">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98">
            <w:pPr>
              <w:pBdr>
                <w:top w:val="none" w:color="000000" w:sz="0" w:space="0"/>
                <w:left w:val="none" w:color="000000" w:sz="0" w:space="0"/>
                <w:bottom w:val="none" w:color="000000" w:sz="0" w:space="0"/>
                <w:right w:val="none" w:color="000000" w:sz="0" w:space="0"/>
                <w:between w:val="none" w:color="000000" w:sz="0" w:space="0"/>
              </w:pBdr>
              <w:jc w:val="center"/>
              <w:rPr>
                <w:b/>
                <w:color w:val="000000"/>
                <w:lang w:val="fi-FI"/>
              </w:rPr>
            </w:pPr>
            <w:r>
              <w:rPr>
                <w:b/>
                <w:color w:val="000000"/>
                <w:lang w:val="fi-FI"/>
              </w:rPr>
              <w:t>5. SUTARTIES KAINA IR ATSISKAITYMO TVARKA</w:t>
            </w:r>
          </w:p>
        </w:tc>
      </w:tr>
      <w:tr w14:paraId="3B5C16D0">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9B">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r>
              <w:rPr>
                <w:b/>
                <w:color w:val="000000"/>
                <w:lang w:val="fi-FI"/>
              </w:rPr>
              <w:t>5.1. Sutarčiai taikomas kainos apskaičiavimo būdas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9D">
            <w:pPr>
              <w:pBdr>
                <w:top w:val="none" w:color="000000" w:sz="0" w:space="0"/>
                <w:left w:val="none" w:color="000000" w:sz="0" w:space="0"/>
                <w:bottom w:val="none" w:color="000000" w:sz="0" w:space="0"/>
                <w:right w:val="none" w:color="000000" w:sz="0" w:space="0"/>
                <w:between w:val="none" w:color="000000" w:sz="0" w:space="0"/>
              </w:pBdr>
              <w:rPr>
                <w:color w:val="000000"/>
                <w:lang w:val="fi-FI"/>
              </w:rPr>
            </w:pPr>
            <w:r>
              <w:rPr>
                <w:color w:val="000000"/>
                <w:lang w:val="fi-FI"/>
              </w:rPr>
              <w:t>Sutarties metu taikoma fiksuotos kainos kainodara.</w:t>
            </w:r>
          </w:p>
          <w:p w14:paraId="0000079E">
            <w:pPr>
              <w:pBdr>
                <w:top w:val="none" w:color="000000" w:sz="0" w:space="0"/>
                <w:left w:val="none" w:color="000000" w:sz="0" w:space="0"/>
                <w:bottom w:val="none" w:color="000000" w:sz="0" w:space="0"/>
                <w:right w:val="none" w:color="000000" w:sz="0" w:space="0"/>
                <w:between w:val="none" w:color="000000" w:sz="0" w:space="0"/>
              </w:pBdr>
              <w:rPr>
                <w:color w:val="000000"/>
                <w:lang w:val="fi-FI"/>
              </w:rPr>
            </w:pPr>
            <w:r>
              <w:rPr>
                <w:color w:val="000000"/>
                <w:lang w:val="fi-FI"/>
              </w:rPr>
              <w:t>Fiksuota kaina</w:t>
            </w:r>
          </w:p>
          <w:p w14:paraId="0000079F">
            <w:pPr>
              <w:pBdr>
                <w:top w:val="none" w:color="000000" w:sz="0" w:space="0"/>
                <w:left w:val="none" w:color="000000" w:sz="0" w:space="0"/>
                <w:bottom w:val="none" w:color="000000" w:sz="0" w:space="0"/>
                <w:right w:val="none" w:color="000000" w:sz="0" w:space="0"/>
                <w:between w:val="none" w:color="000000" w:sz="0" w:space="0"/>
              </w:pBdr>
              <w:rPr>
                <w:i/>
                <w:color w:val="4472C4"/>
                <w:lang w:val="fi-FI"/>
              </w:rPr>
            </w:pPr>
          </w:p>
        </w:tc>
      </w:tr>
      <w:tr w14:paraId="56E3F6E3">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A0">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b/>
                <w:color w:val="000000"/>
                <w:lang w:val="fi-FI"/>
              </w:rPr>
              <w:t xml:space="preserve">5.2. Pradinės Sutarties vertė ir Sutarties kaina, kai taikoma </w:t>
            </w:r>
            <w:r>
              <w:rPr>
                <w:b/>
                <w:color w:val="000000"/>
                <w:u w:val="single"/>
                <w:lang w:val="fi-FI"/>
              </w:rPr>
              <w:t>fiksuotos kainos</w:t>
            </w:r>
            <w:r>
              <w:rPr>
                <w:b/>
                <w:color w:val="000000"/>
                <w:lang w:val="fi-FI"/>
              </w:rPr>
              <w:t xml:space="preserve"> kainodara</w:t>
            </w:r>
          </w:p>
          <w:p w14:paraId="000007A1">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A3">
            <w:pPr>
              <w:pBdr>
                <w:top w:val="none" w:color="000000" w:sz="0" w:space="0"/>
                <w:left w:val="none" w:color="000000" w:sz="0" w:space="0"/>
                <w:bottom w:val="none" w:color="000000" w:sz="0" w:space="0"/>
                <w:right w:val="none" w:color="000000" w:sz="0" w:space="0"/>
                <w:between w:val="none" w:color="000000" w:sz="0" w:space="0"/>
              </w:pBdr>
              <w:rPr>
                <w:color w:val="000000"/>
                <w:lang w:val="fi-FI"/>
              </w:rPr>
            </w:pPr>
            <w:r>
              <w:rPr>
                <w:color w:val="000000"/>
                <w:lang w:val="fi-FI"/>
              </w:rPr>
              <w:t xml:space="preserve">Pradinės Sutarties vertė yra </w:t>
            </w:r>
            <w:r>
              <w:rPr>
                <w:i/>
                <w:color w:val="4472C4"/>
                <w:lang w:val="fi-FI"/>
              </w:rPr>
              <w:t>(nurodyti sumą skaičiais)</w:t>
            </w:r>
            <w:r>
              <w:rPr>
                <w:color w:val="000000"/>
                <w:lang w:val="fi-FI"/>
              </w:rPr>
              <w:t xml:space="preserve"> Eur, </w:t>
            </w:r>
            <w:r>
              <w:rPr>
                <w:color w:val="4472C4"/>
                <w:lang w:val="fi-FI"/>
              </w:rPr>
              <w:t>(</w:t>
            </w:r>
            <w:r>
              <w:rPr>
                <w:i/>
                <w:color w:val="4472C4"/>
                <w:lang w:val="fi-FI"/>
              </w:rPr>
              <w:t>nurodyti sumą žodžiais</w:t>
            </w:r>
            <w:r>
              <w:rPr>
                <w:color w:val="4472C4"/>
                <w:lang w:val="fi-FI"/>
              </w:rPr>
              <w:t>)</w:t>
            </w:r>
            <w:r>
              <w:rPr>
                <w:color w:val="000000"/>
                <w:lang w:val="fi-FI"/>
              </w:rPr>
              <w:t xml:space="preserve"> be pridėtinės vertės mokesčio (toliau – PVM). </w:t>
            </w:r>
          </w:p>
          <w:p w14:paraId="000007A4">
            <w:pPr>
              <w:pBdr>
                <w:top w:val="none" w:color="000000" w:sz="0" w:space="0"/>
                <w:left w:val="none" w:color="000000" w:sz="0" w:space="0"/>
                <w:bottom w:val="none" w:color="000000" w:sz="0" w:space="0"/>
                <w:right w:val="none" w:color="000000" w:sz="0" w:space="0"/>
                <w:between w:val="none" w:color="000000" w:sz="0" w:space="0"/>
              </w:pBdr>
              <w:rPr>
                <w:color w:val="000000"/>
                <w:lang w:val="fi-FI"/>
              </w:rPr>
            </w:pPr>
            <w:r>
              <w:rPr>
                <w:color w:val="000000"/>
                <w:lang w:val="fi-FI"/>
              </w:rPr>
              <w:t xml:space="preserve">PVM sudaro </w:t>
            </w:r>
            <w:r>
              <w:rPr>
                <w:i/>
                <w:color w:val="4472C4"/>
                <w:lang w:val="fi-FI"/>
              </w:rPr>
              <w:t>(nurodyti sumą skaičiais)</w:t>
            </w:r>
            <w:r>
              <w:rPr>
                <w:color w:val="000000"/>
                <w:lang w:val="fi-FI"/>
              </w:rPr>
              <w:t xml:space="preserve"> Eur, </w:t>
            </w:r>
            <w:r>
              <w:rPr>
                <w:color w:val="4472C4"/>
                <w:lang w:val="fi-FI"/>
              </w:rPr>
              <w:t>(</w:t>
            </w:r>
            <w:r>
              <w:rPr>
                <w:i/>
                <w:color w:val="4472C4"/>
                <w:lang w:val="fi-FI"/>
              </w:rPr>
              <w:t>nurodyti sumą žodžiais</w:t>
            </w:r>
            <w:r>
              <w:rPr>
                <w:color w:val="4472C4"/>
                <w:lang w:val="fi-FI"/>
              </w:rPr>
              <w:t>)</w:t>
            </w:r>
            <w:r>
              <w:rPr>
                <w:color w:val="000000"/>
                <w:lang w:val="fi-FI"/>
              </w:rPr>
              <w:t>.</w:t>
            </w:r>
          </w:p>
          <w:p w14:paraId="000007A5">
            <w:pPr>
              <w:pBdr>
                <w:top w:val="none" w:color="000000" w:sz="0" w:space="0"/>
                <w:left w:val="none" w:color="000000" w:sz="0" w:space="0"/>
                <w:bottom w:val="none" w:color="000000" w:sz="0" w:space="0"/>
                <w:right w:val="none" w:color="000000" w:sz="0" w:space="0"/>
                <w:between w:val="none" w:color="000000" w:sz="0" w:space="0"/>
              </w:pBdr>
              <w:rPr>
                <w:color w:val="000000"/>
                <w:lang w:val="fi-FI"/>
              </w:rPr>
            </w:pPr>
            <w:r>
              <w:rPr>
                <w:color w:val="000000"/>
                <w:lang w:val="fi-FI"/>
              </w:rPr>
              <w:t xml:space="preserve">Sutarties kaina yra </w:t>
            </w:r>
            <w:r>
              <w:rPr>
                <w:i/>
                <w:color w:val="4472C4"/>
                <w:lang w:val="fi-FI"/>
              </w:rPr>
              <w:t>(nurodyti sumą skaičiais)</w:t>
            </w:r>
            <w:r>
              <w:rPr>
                <w:color w:val="000000"/>
                <w:lang w:val="fi-FI"/>
              </w:rPr>
              <w:t xml:space="preserve"> Eur, </w:t>
            </w:r>
            <w:r>
              <w:rPr>
                <w:i/>
                <w:color w:val="4472C4"/>
                <w:lang w:val="fi-FI"/>
              </w:rPr>
              <w:t>(nurodyti sumą žodžiais)</w:t>
            </w:r>
            <w:r>
              <w:rPr>
                <w:color w:val="000000"/>
                <w:lang w:val="fi-FI"/>
              </w:rPr>
              <w:t xml:space="preserve"> Eur su PVM. Pradinės sutarties vertė yra lygi tiekėjo pasiūlymo kainai be PVM, nurodytai už visą pirkimo dokumentuose ir sutartyje nurodytą prekių kiekį.</w:t>
            </w:r>
          </w:p>
          <w:p w14:paraId="000007A6">
            <w:pPr>
              <w:pBdr>
                <w:top w:val="none" w:color="000000" w:sz="0" w:space="0"/>
                <w:left w:val="none" w:color="000000" w:sz="0" w:space="0"/>
                <w:bottom w:val="none" w:color="000000" w:sz="0" w:space="0"/>
                <w:right w:val="none" w:color="000000" w:sz="0" w:space="0"/>
                <w:between w:val="none" w:color="000000" w:sz="0" w:space="0"/>
              </w:pBdr>
              <w:rPr>
                <w:color w:val="000000"/>
                <w:lang w:val="fi-FI"/>
              </w:rPr>
            </w:pPr>
            <w:r>
              <w:rPr>
                <w:color w:val="000000"/>
                <w:lang w:val="fi-FI"/>
              </w:rPr>
              <w:t xml:space="preserve"> </w:t>
            </w:r>
          </w:p>
        </w:tc>
      </w:tr>
      <w:tr w14:paraId="02834DB1">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A7">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b/>
                <w:color w:val="000000"/>
                <w:lang w:val="fi-FI"/>
              </w:rPr>
              <w:t xml:space="preserve">5.3. Sutarties kainos/įkainių perskaičiavimas taikant </w:t>
            </w:r>
            <w:r>
              <w:rPr>
                <w:b/>
                <w:color w:val="000000"/>
                <w:u w:val="single"/>
                <w:lang w:val="fi-FI"/>
              </w:rPr>
              <w:t>peržiūros</w:t>
            </w:r>
            <w:r>
              <w:rPr>
                <w:b/>
                <w:color w:val="000000"/>
                <w:lang w:val="fi-FI"/>
              </w:rPr>
              <w:t xml:space="preserve"> taisykles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A9">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Nepritaikyta.</w:t>
            </w:r>
          </w:p>
          <w:p w14:paraId="000007AA">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7AB">
            <w:pPr>
              <w:pBdr>
                <w:top w:val="none" w:color="000000" w:sz="0" w:space="0"/>
                <w:left w:val="none" w:color="000000" w:sz="0" w:space="0"/>
                <w:bottom w:val="none" w:color="000000" w:sz="0" w:space="0"/>
                <w:right w:val="none" w:color="000000" w:sz="0" w:space="0"/>
                <w:between w:val="none" w:color="000000" w:sz="0" w:space="0"/>
              </w:pBdr>
              <w:rPr>
                <w:color w:val="FF0000"/>
              </w:rPr>
            </w:pPr>
          </w:p>
        </w:tc>
      </w:tr>
      <w:tr w14:paraId="02483002">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AC">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b/>
                <w:color w:val="000000"/>
                <w:lang w:val="fi-FI"/>
              </w:rPr>
              <w:t xml:space="preserve">5.4. Sutarties kainos/įkainių apskaičiavimas taikant </w:t>
            </w:r>
            <w:r>
              <w:rPr>
                <w:b/>
                <w:color w:val="000000"/>
                <w:u w:val="single"/>
                <w:lang w:val="fi-FI"/>
              </w:rPr>
              <w:t>kiekio (apimties)</w:t>
            </w:r>
            <w:r>
              <w:rPr>
                <w:b/>
                <w:color w:val="000000"/>
                <w:lang w:val="fi-FI"/>
              </w:rPr>
              <w:t xml:space="preserve"> keitimo taisykles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AE">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Nepritaikyta.</w:t>
            </w:r>
          </w:p>
          <w:p w14:paraId="000007AF">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7B0">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266672C1">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B1">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r>
              <w:rPr>
                <w:b/>
                <w:color w:val="000000"/>
                <w:lang w:val="fi-FI"/>
              </w:rPr>
              <w:t>5.5. Atsiskaitymo su Tiekėju terminas ir tvarka</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B3">
            <w:pPr>
              <w:pBdr>
                <w:top w:val="none" w:color="000000" w:sz="0" w:space="0"/>
                <w:left w:val="none" w:color="000000" w:sz="0" w:space="0"/>
                <w:bottom w:val="none" w:color="000000" w:sz="0" w:space="0"/>
                <w:right w:val="none" w:color="000000" w:sz="0" w:space="0"/>
                <w:between w:val="none" w:color="000000" w:sz="0" w:space="0"/>
              </w:pBdr>
              <w:jc w:val="both"/>
              <w:rPr>
                <w:color w:val="000000"/>
                <w:lang w:val="fi-FI"/>
              </w:rPr>
            </w:pPr>
            <w:r>
              <w:rPr>
                <w:color w:val="000000"/>
                <w:lang w:val="fi-FI"/>
              </w:rPr>
              <w:t>Pirkėjas atsiskaito su Tiekėju ne vėliau kaip per  30 dienų nuo Prekių sąskaitos – faktūros pateikimo Pirkėjui elektroninėje sistemoje SABIS dienos.</w:t>
            </w:r>
          </w:p>
        </w:tc>
      </w:tr>
      <w:tr w14:paraId="434D1F2A">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B4">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5.6. Išankstinis mokėjimas (avansas)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B6">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20 procentų sutarties kainos su PVM. Per 10 darbo dienų nuo sąskaitos pateikimo per SABIS.</w:t>
            </w:r>
          </w:p>
          <w:p w14:paraId="000007B7">
            <w:pPr>
              <w:pBdr>
                <w:top w:val="none" w:color="000000" w:sz="0" w:space="0"/>
                <w:left w:val="none" w:color="000000" w:sz="0" w:space="0"/>
                <w:bottom w:val="none" w:color="000000" w:sz="0" w:space="0"/>
                <w:right w:val="none" w:color="000000" w:sz="0" w:space="0"/>
                <w:between w:val="none" w:color="000000" w:sz="0" w:space="0"/>
              </w:pBdr>
              <w:spacing w:line="256" w:lineRule="auto"/>
              <w:rPr>
                <w:color w:val="000000"/>
                <w:highlight w:val="white"/>
              </w:rPr>
            </w:pPr>
          </w:p>
        </w:tc>
      </w:tr>
      <w:tr w14:paraId="00B16448">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B8">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5.7. Avanso užtikrinimas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BA">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Nepritaikyta.</w:t>
            </w:r>
          </w:p>
          <w:p w14:paraId="000007BB">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highlight w:val="white"/>
              </w:rPr>
              <w:t xml:space="preserve"> </w:t>
            </w:r>
          </w:p>
        </w:tc>
      </w:tr>
      <w:tr w14:paraId="3060BF5A">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BC">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6. PREKIŲ KOKYBĖ IR GARANTINIAI ĮSIPAREIGOJIMAI</w:t>
            </w:r>
          </w:p>
        </w:tc>
      </w:tr>
      <w:tr w14:paraId="0A99A515">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BF">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6.1. Garantinis terminas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C1">
            <w:pPr>
              <w:pBdr>
                <w:top w:val="none" w:color="000000" w:sz="0" w:space="0"/>
                <w:left w:val="none" w:color="000000" w:sz="0" w:space="0"/>
                <w:bottom w:val="none" w:color="000000" w:sz="0" w:space="0"/>
                <w:right w:val="none" w:color="000000" w:sz="0" w:space="0"/>
                <w:between w:val="none" w:color="000000" w:sz="0" w:space="0"/>
              </w:pBdr>
              <w:spacing w:line="256" w:lineRule="auto"/>
              <w:jc w:val="both"/>
              <w:rPr>
                <w:color w:val="000000"/>
              </w:rPr>
            </w:pPr>
            <w:r>
              <w:rPr>
                <w:color w:val="000000"/>
              </w:rPr>
              <w:t xml:space="preserve">Prekėms nustatomas Tiekėjo pasiūlytas arba Prekių gamintojo taikomas  garantinis terminas pagal techninę specifikaciją ir pasiūlytą papildomą garantinį terminą, jei toks buvo pasiūlytas. </w:t>
            </w:r>
          </w:p>
          <w:p w14:paraId="000007C3">
            <w:pPr>
              <w:pBdr>
                <w:top w:val="none" w:color="000000" w:sz="0" w:space="0"/>
                <w:left w:val="none" w:color="000000" w:sz="0" w:space="0"/>
                <w:bottom w:val="none" w:color="000000" w:sz="0" w:space="0"/>
                <w:right w:val="none" w:color="000000" w:sz="0" w:space="0"/>
                <w:between w:val="none" w:color="000000" w:sz="0" w:space="0"/>
              </w:pBdr>
              <w:spacing w:line="256" w:lineRule="auto"/>
              <w:jc w:val="both"/>
              <w:rPr>
                <w:color w:val="000000"/>
              </w:rPr>
            </w:pPr>
            <w:r>
              <w:rPr>
                <w:color w:val="000000"/>
              </w:rPr>
              <w:t xml:space="preserve">Garantinis terminas, skaičiuojamas nuo Prekės perdavimo – priėmimo akto pasirašymo dienos. </w:t>
            </w:r>
          </w:p>
        </w:tc>
      </w:tr>
      <w:tr w14:paraId="435EDD40">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C4">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6.2. Garantinė priežiūra</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2A9FAD05">
            <w:pPr>
              <w:ind w:hanging="2"/>
              <w:jc w:val="both"/>
              <w:rPr>
                <w:sz w:val="22"/>
                <w:szCs w:val="22"/>
              </w:rPr>
            </w:pPr>
            <w:r>
              <w:rPr>
                <w:sz w:val="22"/>
                <w:szCs w:val="22"/>
              </w:rPr>
              <w:t xml:space="preserve">Tiekėjas privalo užtikrinti transporto priemonės gamintojo numatytą garantinį aptarnavimą ir garantinę priežiūrą. Tiekėjas įsipareigoja garantiniu ir jei pasiūlys papildomu garantiniu laikotarpiu užtikrinti atsiradusių gedimų (defektų) pašalinimą ne ilgiau nei per 10 darbo dienų nuo užsakymo oficialiu Tiekėjo elektroniniu paštu pateikimo dienos, neįskaitant užsakymo išsiuntimo dienos. </w:t>
            </w:r>
          </w:p>
          <w:p w14:paraId="60BC2A83">
            <w:pPr>
              <w:ind w:hanging="2"/>
              <w:jc w:val="both"/>
              <w:rPr>
                <w:sz w:val="22"/>
                <w:szCs w:val="22"/>
              </w:rPr>
            </w:pPr>
            <w:r>
              <w:rPr>
                <w:sz w:val="22"/>
                <w:szCs w:val="22"/>
              </w:rPr>
              <w:t>Garantiniu laikotarpiu techninių gedimų turinčias prekes (autobusus) į techninio aptarnavimo centrą tiekėjas transportuoja savo lėšomis.</w:t>
            </w:r>
          </w:p>
          <w:p w14:paraId="000007C7">
            <w:pPr>
              <w:pBdr>
                <w:top w:val="none" w:color="000000" w:sz="0" w:space="0"/>
                <w:left w:val="none" w:color="000000" w:sz="0" w:space="0"/>
                <w:bottom w:val="none" w:color="000000" w:sz="0" w:space="0"/>
                <w:right w:val="none" w:color="000000" w:sz="0" w:space="0"/>
                <w:between w:val="none" w:color="000000" w:sz="0" w:space="0"/>
              </w:pBdr>
              <w:rPr>
                <w:color w:val="000000"/>
              </w:rPr>
            </w:pPr>
          </w:p>
        </w:tc>
      </w:tr>
      <w:tr w14:paraId="295AAE70">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C8">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6.3. Prekių trūkumai ir jų šalinimo tvarka</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CA">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Prekių trūkumų nustatymo bei šalinimo tvarka nustatyta Bendrųjų sąlygų 7 skyriuje.</w:t>
            </w:r>
          </w:p>
        </w:tc>
      </w:tr>
      <w:tr w14:paraId="16E2DA1A">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CB">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7. SUTARTIES VYKDYMUI PASITELKIAMI SUBTIEKĖJAI</w:t>
            </w:r>
          </w:p>
        </w:tc>
      </w:tr>
      <w:tr w14:paraId="17D5E200">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CE">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 xml:space="preserve">7.1. Sutarties vykdymui pasitelkiami subtiekėjai </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D0">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Sutarties vykdymui subtiekėjai nepasitelkiami.</w:t>
            </w:r>
          </w:p>
          <w:p w14:paraId="000007D1">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7D2">
            <w:pPr>
              <w:pBdr>
                <w:top w:val="none" w:color="000000" w:sz="0" w:space="0"/>
                <w:left w:val="none" w:color="000000" w:sz="0" w:space="0"/>
                <w:bottom w:val="none" w:color="000000" w:sz="0" w:space="0"/>
                <w:right w:val="none" w:color="000000" w:sz="0" w:space="0"/>
                <w:between w:val="none" w:color="000000" w:sz="0" w:space="0"/>
              </w:pBdr>
              <w:rPr>
                <w:color w:val="FF0000"/>
              </w:rPr>
            </w:pPr>
            <w:r>
              <w:rPr>
                <w:color w:val="FF0000"/>
              </w:rPr>
              <w:t>arba</w:t>
            </w:r>
          </w:p>
          <w:p w14:paraId="000007D3">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7D4">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Sutarties vykdymui pasitelkiami subtiekėjai yra nurodyti Sutarties priede Nr. [...] „Sutarties vykdymui pasitelkiami subtiekėjai“</w:t>
            </w:r>
          </w:p>
        </w:tc>
      </w:tr>
      <w:tr w14:paraId="034BE994">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D5">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 xml:space="preserve">8. PRIEVOLIŲ PAGAL SUTARTĮ ĮVYKDYMO UŽTIKRINIMAS, BANKO ARBA KREDITO ĮSTAIGOS GARANTIJA, LAIDAVIMO DRAUDIMAS ARBA UŽSTATAS </w:t>
            </w:r>
          </w:p>
        </w:tc>
      </w:tr>
      <w:tr w14:paraId="124C8280">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D8">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8.1. Prievolių pagal Sutartį įvykdymo užtikrinimo būdas (-ai)</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DA">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Pagal Sutartį prievolių įvykdymas užtikrinamas delspinigiais 0,02 procento nuo Sutarties vertės su pridėtinės vertės mokesčio.</w:t>
            </w:r>
          </w:p>
        </w:tc>
      </w:tr>
      <w:tr w14:paraId="1C3710AB">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DB">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 xml:space="preserve">8.2. Sutarties įvykdymo užtikrinimo pateikimas </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DD">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highlight w:val="white"/>
              </w:rPr>
              <w:t>Taikomas 5 procentų Sutarties vertės su PVM dydžio Sutarties užtikrinimas. Tiekėjas per 5 darbo dienas nuo sutarties pasirašymo pateikia banko garantiją, kredito įstaigos garantiją, laidavimo draudimą. Sąlygomis numatoma, kad kartu su laidavimo draudimo dokumentu turi būti pateiktas draudimo įmokos apmokėjimą patvirtinantis dokumentas, arba sutarties vykdymo draudimo užtikrinimas su apmokėjimo dokumentu, arba garantinis įnašas į Pirkėjo sąskaitą Nr.</w:t>
            </w:r>
            <w:r>
              <w:rPr>
                <w:color w:val="000000"/>
              </w:rPr>
              <w:t xml:space="preserve">.... </w:t>
            </w:r>
          </w:p>
          <w:p w14:paraId="000007DE">
            <w:pPr>
              <w:pBdr>
                <w:top w:val="none" w:color="000000" w:sz="0" w:space="0"/>
                <w:left w:val="none" w:color="000000" w:sz="0" w:space="0"/>
                <w:bottom w:val="none" w:color="000000" w:sz="0" w:space="0"/>
                <w:right w:val="none" w:color="000000" w:sz="0" w:space="0"/>
                <w:between w:val="none" w:color="000000" w:sz="0" w:space="0"/>
              </w:pBdr>
              <w:jc w:val="both"/>
              <w:rPr>
                <w:color w:val="000000"/>
                <w:highlight w:val="white"/>
              </w:rPr>
            </w:pPr>
            <w:r>
              <w:rPr>
                <w:color w:val="000000"/>
              </w:rPr>
              <w:t>Užstatas Tiekėjui bus grąžinamas, kai įvykdyti abipusiai įsipareigojimai, išskyrus garantinio aptarnavimo įsiparigojimą iš Tiekėjo pusės.</w:t>
            </w:r>
          </w:p>
        </w:tc>
      </w:tr>
      <w:tr w14:paraId="07872207">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DF">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9. ŠALIŲ ATSAKOMYBĖ</w:t>
            </w:r>
          </w:p>
        </w:tc>
      </w:tr>
      <w:tr w14:paraId="663118F8">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E2">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9.1. Pirkėjui taikomos netesybos už mokėjimų pagal Sutartį vėlavimą</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E4">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Jei Pirkėjas, gavęs tinkamai pateiktą ir užpildytą PVM sąskaitą-faktūrą, delsia atsiskaityti už tinkamai Tiekėjo  perduotas kokybiškas Prekes per Sutartyje nurodytą 30 kalendorinių dienų terminą, Tiekėjas nuo kitos nei nustatytas terminas kalendorinės dienos skaičiuoja Pirkėjui 0,02 (dvi šimtąsias) procento dydžio delspinigius nuo neapmokėtos sumos su PVM už pradelstą apmokėti (vėlavimo) dieną.</w:t>
            </w:r>
            <w:r>
              <w:rPr>
                <w:i/>
                <w:color w:val="000000"/>
              </w:rPr>
              <w:t> </w:t>
            </w:r>
          </w:p>
        </w:tc>
      </w:tr>
      <w:tr w14:paraId="0497C54E">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E5">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9.2. Tiekėjui taikomos netesybos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E7">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Jeigu Tiekėjas vėluoja vykdyti užsakymą, tiekti Prekes ar ištaisyti jų trūkumus arba nevykdo kitų sutartinių įsipareigojimų, Pirkėjas nuo kitos nei nustatytas terminas dienos Tiekėjui skaičiuoja 0,02 (dvi šimtąsias) procento  dydžio delspinigius už kiekvieną uždelstą dieną nuo laiku neperduotų Prekių ar Prekių, turinčių trūkumų, kainos su PVM.  </w:t>
            </w:r>
          </w:p>
          <w:p w14:paraId="000007E8">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Sutarties įvykdymo užtikrinimas taikomas, jei tiekėjas neįvykdė, nevykdo arba netinkamai vykdo savo įsipareigojimus pagal sutartį, per protingai nustatytą laikotarpį neįvykdo pirkėjo nurodymo ištaisyti prekių trūkumus.</w:t>
            </w:r>
          </w:p>
          <w:p w14:paraId="000007E9">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Tiekėjas privalo sumokėti Pirkėjui netesybas per 10 darbo dienų nuo Pirkėjo raštiško pareikalavimo dienos. </w:t>
            </w:r>
          </w:p>
        </w:tc>
      </w:tr>
      <w:tr w14:paraId="4D78E154">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EA">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9.3. Tiekėjui taikoma bauda nutraukus Sutartį dėl esminio Sutarties pažeidimo</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EC">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Nutraukus Sutartį dėl Tiekėjo padaryto esminio Sutarties pažeidimo, nustatyto Sutarties Specialiosiose sąlygose, Tiekėjas privalo sumokėti Pirkėjui 10 procentų dydžio baudą nuo pradinės Sutarties vertės su PVM, nurodytos Specialiųjų sąlygų 5.2 punkte. </w:t>
            </w:r>
          </w:p>
        </w:tc>
      </w:tr>
      <w:tr w14:paraId="316942DC">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ED">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 xml:space="preserve">9.4. Tiekėjui taikoma bauda dėl esamų subtiekėjų ar specialistų pakeitimo / naujų subtiekėjų pasitelkimo nesilaikant Bendrosiose sąlygose nurodytos subtiekėjų ar specialistų keitimo tvarkos </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EF">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Taikoma 5 procentai nuo Sutarties su pridėtinės vertės mokesčiu kainos už kiekvieną atvejį.</w:t>
            </w:r>
          </w:p>
        </w:tc>
      </w:tr>
      <w:tr w14:paraId="2E36C89E">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F0">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9.5. Tiekėjui taikomos baudos dėl aplinkosauginių ir (arba) socialinių kriterijų nesilaikymo</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F2">
            <w:pPr>
              <w:pBdr>
                <w:top w:val="none" w:color="000000" w:sz="0" w:space="0"/>
                <w:left w:val="none" w:color="000000" w:sz="0" w:space="0"/>
                <w:bottom w:val="none" w:color="000000" w:sz="0" w:space="0"/>
                <w:right w:val="none" w:color="000000" w:sz="0" w:space="0"/>
                <w:between w:val="none" w:color="000000" w:sz="0" w:space="0"/>
              </w:pBdr>
              <w:rPr>
                <w:color w:val="4472C4"/>
              </w:rPr>
            </w:pPr>
            <w:r>
              <w:rPr>
                <w:color w:val="000000"/>
              </w:rPr>
              <w:t>5 procentai nuo sutarties vertės su PVM Sutarties vykdymo metu nepateiktus aplinkosauginių reikalavimų atitikimą dokumentus arba pateiktus melagingus aplinkosauginius reikalavimus įrodančius dokumentus, neatsižvelgiant į dokumentų kiekius.</w:t>
            </w:r>
          </w:p>
        </w:tc>
      </w:tr>
      <w:tr w14:paraId="06BB0EF2">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F3">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9.6. Tiekėjui / Pirkėjui taikoma bauda dėl konfidencialumo reikalavimų nesilaikymo</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F5">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2 procentai nuo Sutarties vertės su PVM už atvejį.</w:t>
            </w:r>
          </w:p>
          <w:p w14:paraId="000007F6">
            <w:pPr>
              <w:pBdr>
                <w:top w:val="none" w:color="000000" w:sz="0" w:space="0"/>
                <w:left w:val="none" w:color="000000" w:sz="0" w:space="0"/>
                <w:bottom w:val="none" w:color="000000" w:sz="0" w:space="0"/>
                <w:right w:val="none" w:color="000000" w:sz="0" w:space="0"/>
                <w:between w:val="none" w:color="000000" w:sz="0" w:space="0"/>
              </w:pBdr>
              <w:rPr>
                <w:i/>
                <w:color w:val="4472C4"/>
              </w:rPr>
            </w:pPr>
          </w:p>
        </w:tc>
      </w:tr>
      <w:tr w14:paraId="51392092">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F7">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9.7. Tiekėjui taikomos netesybos dėl pirkimo dokumentuose nustatytų kokybinių kriterijų nepasiekimo Sutarties vykdymo metu</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F9">
            <w:pPr>
              <w:pBdr>
                <w:top w:val="none" w:color="000000" w:sz="0" w:space="0"/>
                <w:left w:val="none" w:color="000000" w:sz="0" w:space="0"/>
                <w:bottom w:val="none" w:color="000000" w:sz="0" w:space="0"/>
                <w:right w:val="none" w:color="000000" w:sz="0" w:space="0"/>
                <w:between w:val="none" w:color="000000" w:sz="0" w:space="0"/>
              </w:pBdr>
              <w:rPr>
                <w:color w:val="4472C4"/>
                <w:lang w:val="fi-FI"/>
              </w:rPr>
            </w:pPr>
            <w:r>
              <w:rPr>
                <w:color w:val="000000"/>
                <w:lang w:val="fi-FI"/>
              </w:rPr>
              <w:t>5 procentai Sutarties kainos su PVM už atvejį.</w:t>
            </w:r>
          </w:p>
        </w:tc>
      </w:tr>
      <w:tr w14:paraId="17A365E5">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FA">
            <w:pPr>
              <w:pBdr>
                <w:top w:val="none" w:color="000000" w:sz="0" w:space="0"/>
                <w:left w:val="none" w:color="000000" w:sz="0" w:space="0"/>
                <w:bottom w:val="none" w:color="000000" w:sz="0" w:space="0"/>
                <w:right w:val="none" w:color="000000" w:sz="0" w:space="0"/>
                <w:between w:val="none" w:color="000000" w:sz="0" w:space="0"/>
              </w:pBdr>
              <w:jc w:val="both"/>
              <w:rPr>
                <w:b/>
                <w:color w:val="000000"/>
                <w:lang w:val="fi-FI"/>
              </w:rPr>
            </w:pPr>
            <w:r>
              <w:rPr>
                <w:b/>
                <w:color w:val="000000"/>
                <w:lang w:val="fi-FI"/>
              </w:rPr>
              <w:t>9.8. Tiekėjui taikomos netesybos dėl Sutarties įvykdymo užtikrinimo nepratęsimo</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FC">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Nepritaikyta</w:t>
            </w:r>
          </w:p>
          <w:p w14:paraId="000007FD">
            <w:pPr>
              <w:pBdr>
                <w:top w:val="none" w:color="000000" w:sz="0" w:space="0"/>
                <w:left w:val="none" w:color="000000" w:sz="0" w:space="0"/>
                <w:bottom w:val="none" w:color="000000" w:sz="0" w:space="0"/>
                <w:right w:val="none" w:color="000000" w:sz="0" w:space="0"/>
                <w:between w:val="none" w:color="000000" w:sz="0" w:space="0"/>
              </w:pBdr>
              <w:rPr>
                <w:i/>
                <w:color w:val="4472C4"/>
              </w:rPr>
            </w:pPr>
          </w:p>
        </w:tc>
      </w:tr>
      <w:tr w14:paraId="7288C865">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7FE">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b/>
                <w:color w:val="000000"/>
              </w:rPr>
              <w:t>9.9. Kitos netesybos / baudos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0">
            <w:pPr>
              <w:pBdr>
                <w:top w:val="none" w:color="000000" w:sz="0" w:space="0"/>
                <w:left w:val="none" w:color="000000" w:sz="0" w:space="0"/>
                <w:bottom w:val="none" w:color="000000" w:sz="0" w:space="0"/>
                <w:right w:val="none" w:color="000000" w:sz="0" w:space="0"/>
                <w:between w:val="none" w:color="000000" w:sz="0" w:space="0"/>
              </w:pBdr>
              <w:rPr>
                <w:i/>
                <w:color w:val="4472C4"/>
              </w:rPr>
            </w:pPr>
            <w:r>
              <w:rPr>
                <w:color w:val="000000"/>
              </w:rPr>
              <w:t>Nevykdant įsipareigojimo dėl papildomo garantinio termino, jei tiekėjas pasiūlymu pasiūlė  papildomą garantinį terminą 5 procentai nuo prekės vertės su PVM</w:t>
            </w:r>
          </w:p>
        </w:tc>
      </w:tr>
      <w:tr w14:paraId="047CD277">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1">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10. SUTARTIES GALIOJIMAS IR KEITIMAS</w:t>
            </w:r>
          </w:p>
        </w:tc>
      </w:tr>
      <w:tr w14:paraId="43A2D7CD">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4">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10.1. Sutarties sudarymas ir įsigaliojimas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6">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Ši Sutartis laikoma bus laikoma sudaryta ir įsigalioja nuo sutarties užtikrinimo pateikimo dienos.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tiekėjui, kurio pasiūlymas pagal nustatytą pasiūlymų eilę yra pirmas po tiekėjo, atsisakiusio sudaryti pirkimo sutartį, bei nepateikusio pirkimo sutarties įvykdymo užtikrinimo ar neįvykdžiusio kitų pirkimo sutarties įsigaliojimo sąlygų, jeigu tenkinamos Viešųjų pirkimų įstatymo 45 straipsnio 1 dalyje išdėstytos sąlygos.   </w:t>
            </w:r>
          </w:p>
        </w:tc>
      </w:tr>
      <w:tr w14:paraId="593DB2A1">
        <w:tblPrEx>
          <w:tblCellMar>
            <w:top w:w="0" w:type="dxa"/>
            <w:left w:w="10" w:type="dxa"/>
            <w:bottom w:w="0" w:type="dxa"/>
            <w:right w:w="10" w:type="dxa"/>
          </w:tblCellMar>
        </w:tblPrEx>
        <w:trPr>
          <w:trHeight w:val="300" w:hRule="atLeast"/>
        </w:trPr>
        <w:tc>
          <w:tcPr>
            <w:tcW w:w="2704"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7">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10.2. Sutarties galiojimo termino pratęsimas.</w:t>
            </w:r>
          </w:p>
        </w:tc>
        <w:tc>
          <w:tcPr>
            <w:tcW w:w="677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9">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Nepritaikyta</w:t>
            </w:r>
          </w:p>
        </w:tc>
      </w:tr>
      <w:tr w14:paraId="2EFABE8E">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A">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11. SUTARTIES NUTRAUKIMAS</w:t>
            </w:r>
          </w:p>
        </w:tc>
      </w:tr>
      <w:tr w14:paraId="646D0EEC">
        <w:tblPrEx>
          <w:tblCellMar>
            <w:top w:w="0" w:type="dxa"/>
            <w:left w:w="10" w:type="dxa"/>
            <w:bottom w:w="0" w:type="dxa"/>
            <w:right w:w="10" w:type="dxa"/>
          </w:tblCellMar>
        </w:tblPrEx>
        <w:trPr>
          <w:trHeight w:val="300" w:hRule="atLeast"/>
        </w:trPr>
        <w:tc>
          <w:tcPr>
            <w:tcW w:w="2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D">
            <w:pPr>
              <w:pBdr>
                <w:top w:val="none" w:color="000000" w:sz="0" w:space="0"/>
                <w:left w:val="none" w:color="000000" w:sz="0" w:space="0"/>
                <w:bottom w:val="none" w:color="000000" w:sz="0" w:space="0"/>
                <w:right w:val="none" w:color="000000" w:sz="0" w:space="0"/>
                <w:between w:val="none" w:color="000000" w:sz="0" w:space="0"/>
              </w:pBdr>
              <w:jc w:val="both"/>
              <w:rPr>
                <w:b/>
                <w:color w:val="000000"/>
              </w:rPr>
            </w:pPr>
            <w:r>
              <w:rPr>
                <w:b/>
                <w:color w:val="000000"/>
              </w:rPr>
              <w:t>11.1. Sutarties nutraukimo pagrindai</w:t>
            </w:r>
          </w:p>
        </w:tc>
        <w:tc>
          <w:tcPr>
            <w:tcW w:w="6950"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0E">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Sutartis gali būti nutraukiama rašytiniu Šalių susitarimu arba vienašališkai, Bendrosiose sąlygose ir Specialiosiose sąlygose nurodytais atvejais ir nustatyta tvarka.</w:t>
            </w:r>
          </w:p>
        </w:tc>
      </w:tr>
      <w:tr w14:paraId="46E25C8F">
        <w:tblPrEx>
          <w:tblCellMar>
            <w:top w:w="0" w:type="dxa"/>
            <w:left w:w="10" w:type="dxa"/>
            <w:bottom w:w="0" w:type="dxa"/>
            <w:right w:w="10" w:type="dxa"/>
          </w:tblCellMar>
        </w:tblPrEx>
        <w:trPr>
          <w:trHeight w:val="300" w:hRule="atLeast"/>
        </w:trPr>
        <w:tc>
          <w:tcPr>
            <w:tcW w:w="2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10">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11.2. Esminiai Sutarties pažeidimai</w:t>
            </w:r>
          </w:p>
          <w:p w14:paraId="00000811">
            <w:pPr>
              <w:pBdr>
                <w:top w:val="none" w:color="000000" w:sz="0" w:space="0"/>
                <w:left w:val="none" w:color="000000" w:sz="0" w:space="0"/>
                <w:bottom w:val="none" w:color="000000" w:sz="0" w:space="0"/>
                <w:right w:val="none" w:color="000000" w:sz="0" w:space="0"/>
                <w:between w:val="none" w:color="000000" w:sz="0" w:space="0"/>
              </w:pBdr>
              <w:rPr>
                <w:b/>
                <w:color w:val="000000"/>
              </w:rPr>
            </w:pPr>
          </w:p>
        </w:tc>
        <w:tc>
          <w:tcPr>
            <w:tcW w:w="6950"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12">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Esminiu pažeidimu laikoma jigu:</w:t>
            </w:r>
          </w:p>
          <w:p w14:paraId="00000813">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1) Tiekėjas nevykdo prisiimtų įsipareigojimų už Sutartyje nustatytą Sutarties kainą / įkainius;</w:t>
            </w:r>
          </w:p>
          <w:p w14:paraId="00000814">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00000815">
            <w:pPr>
              <w:pBdr>
                <w:top w:val="none" w:color="000000" w:sz="0" w:space="0"/>
                <w:left w:val="none" w:color="000000" w:sz="0" w:space="0"/>
                <w:bottom w:val="none" w:color="000000" w:sz="0" w:space="0"/>
                <w:right w:val="none" w:color="000000" w:sz="0" w:space="0"/>
                <w:between w:val="none" w:color="000000" w:sz="0" w:space="0"/>
              </w:pBdr>
              <w:jc w:val="both"/>
              <w:rPr>
                <w:color w:val="000000"/>
              </w:rPr>
            </w:pPr>
            <w:r>
              <w:rPr>
                <w:color w:val="000000"/>
              </w:rPr>
              <w:t xml:space="preserve">3) jeigu paaiškėja, kad Tiekėjas nevykdo įsipareigojimų, kurie pasiūlymų vertinimo metu Pirkimo dokumentuose buvo nustatyti kaip pasiūlymų vertinimo kriterijai ir už kuriuos Tiekėjui buvo skiriamos reikšmės, kai pasiūlymas vertintas pagal kainos/sąnaudų ir kokybės santykį ir Tiekėjas per </w:t>
            </w:r>
            <w:r>
              <w:rPr>
                <w:i/>
                <w:color w:val="000000"/>
              </w:rPr>
              <w:t xml:space="preserve">5 darbo dienų terminą </w:t>
            </w:r>
            <w:r>
              <w:rPr>
                <w:color w:val="000000"/>
              </w:rPr>
              <w:t>neištaiso pažeidimų;</w:t>
            </w:r>
          </w:p>
          <w:p w14:paraId="00000816">
            <w:pPr>
              <w:pBdr>
                <w:top w:val="none" w:color="000000" w:sz="0" w:space="0"/>
                <w:left w:val="none" w:color="000000" w:sz="0" w:space="0"/>
                <w:bottom w:val="none" w:color="000000" w:sz="0" w:space="0"/>
                <w:right w:val="none" w:color="000000" w:sz="0" w:space="0"/>
                <w:between w:val="none" w:color="000000" w:sz="0" w:space="0"/>
              </w:pBdr>
              <w:spacing w:line="256" w:lineRule="auto"/>
              <w:jc w:val="both"/>
              <w:rPr>
                <w:color w:val="000000"/>
              </w:rPr>
            </w:pPr>
            <w:r>
              <w:rPr>
                <w:color w:val="000000"/>
              </w:rPr>
              <w:t xml:space="preserve">4) jeigu Tiekėjas nesilaiko Sutartyje nustatytų Prekių tiekimo terminų 2 (du) kartus iš eilės arba vėluoja pristatyti Prekes daugiau nei </w:t>
            </w:r>
            <w:r>
              <w:rPr>
                <w:i/>
                <w:color w:val="000000"/>
              </w:rPr>
              <w:t>5 darbo dienas</w:t>
            </w:r>
            <w:r>
              <w:rPr>
                <w:color w:val="000000"/>
              </w:rPr>
              <w:t xml:space="preserve"> negu Sutartyje nustatytas Prekių pristatymo terminas;</w:t>
            </w:r>
          </w:p>
          <w:p w14:paraId="00000817">
            <w:pPr>
              <w:pBdr>
                <w:top w:val="none" w:color="000000" w:sz="0" w:space="0"/>
                <w:left w:val="none" w:color="000000" w:sz="0" w:space="0"/>
                <w:bottom w:val="none" w:color="000000" w:sz="0" w:space="0"/>
                <w:right w:val="none" w:color="000000" w:sz="0" w:space="0"/>
                <w:between w:val="none" w:color="000000" w:sz="0" w:space="0"/>
              </w:pBdr>
              <w:tabs>
                <w:tab w:val="left" w:pos="567"/>
                <w:tab w:val="left" w:pos="851"/>
                <w:tab w:val="left" w:pos="992"/>
                <w:tab w:val="left" w:pos="1134"/>
              </w:tabs>
              <w:spacing w:line="256" w:lineRule="auto"/>
              <w:jc w:val="both"/>
              <w:rPr>
                <w:color w:val="000000"/>
              </w:rPr>
            </w:pPr>
            <w:r>
              <w:rPr>
                <w:color w:val="000000"/>
              </w:rPr>
              <w:t>5) jeigu Tiekėjas pažeidžia Prekių pristatymo terminus ir priskaičiuotų netesybų už vėlavimą suma viršija 20 (dvidešimt) proc. Pradinės sutarties vertės;</w:t>
            </w:r>
          </w:p>
          <w:p w14:paraId="00000818">
            <w:pPr>
              <w:pBdr>
                <w:top w:val="none" w:color="000000" w:sz="0" w:space="0"/>
                <w:left w:val="none" w:color="000000" w:sz="0" w:space="0"/>
                <w:bottom w:val="none" w:color="000000" w:sz="0" w:space="0"/>
                <w:right w:val="none" w:color="000000" w:sz="0" w:space="0"/>
                <w:between w:val="none" w:color="000000" w:sz="0" w:space="0"/>
              </w:pBdr>
              <w:tabs>
                <w:tab w:val="left" w:pos="567"/>
                <w:tab w:val="left" w:pos="851"/>
                <w:tab w:val="left" w:pos="992"/>
                <w:tab w:val="left" w:pos="1134"/>
              </w:tabs>
              <w:spacing w:line="256" w:lineRule="auto"/>
              <w:jc w:val="both"/>
              <w:rPr>
                <w:color w:val="000000"/>
              </w:rPr>
            </w:pPr>
            <w:r>
              <w:rPr>
                <w:color w:val="000000"/>
              </w:rPr>
              <w:t>6) Tiekėjas pažeidžia Prekių pristatymo terminus ir dėl Prekių pristatymo vėlavimo Prekės tampa nebereikalingos;</w:t>
            </w:r>
          </w:p>
          <w:p w14:paraId="00000819">
            <w:pPr>
              <w:pBdr>
                <w:top w:val="none" w:color="000000" w:sz="0" w:space="0"/>
                <w:left w:val="none" w:color="000000" w:sz="0" w:space="0"/>
                <w:bottom w:val="none" w:color="000000" w:sz="0" w:space="0"/>
                <w:right w:val="none" w:color="000000" w:sz="0" w:space="0"/>
                <w:between w:val="none" w:color="000000" w:sz="0" w:space="0"/>
              </w:pBdr>
              <w:tabs>
                <w:tab w:val="left" w:pos="567"/>
                <w:tab w:val="left" w:pos="851"/>
                <w:tab w:val="left" w:pos="992"/>
                <w:tab w:val="left" w:pos="1134"/>
              </w:tabs>
              <w:spacing w:line="256" w:lineRule="auto"/>
              <w:jc w:val="both"/>
              <w:rPr>
                <w:color w:val="000000"/>
              </w:rPr>
            </w:pPr>
            <w:r>
              <w:rPr>
                <w:color w:val="000000"/>
              </w:rPr>
              <w:t>7) Tiekėjas daugiau kaip 2 (du) kartus pristato Prekes, kurios neatitinka Sutartyje ir / ar Įstatymuose nustatytų reikalavimų Prekėms;</w:t>
            </w:r>
          </w:p>
          <w:p w14:paraId="0000081A">
            <w:pPr>
              <w:pBdr>
                <w:top w:val="none" w:color="000000" w:sz="0" w:space="0"/>
                <w:left w:val="none" w:color="000000" w:sz="0" w:space="0"/>
                <w:bottom w:val="none" w:color="000000" w:sz="0" w:space="0"/>
                <w:right w:val="none" w:color="000000" w:sz="0" w:space="0"/>
                <w:between w:val="none" w:color="000000" w:sz="0" w:space="0"/>
              </w:pBdr>
              <w:tabs>
                <w:tab w:val="left" w:pos="567"/>
                <w:tab w:val="left" w:pos="851"/>
                <w:tab w:val="left" w:pos="992"/>
                <w:tab w:val="left" w:pos="1134"/>
              </w:tabs>
              <w:spacing w:line="256" w:lineRule="auto"/>
              <w:jc w:val="both"/>
              <w:rPr>
                <w:color w:val="000000"/>
              </w:rPr>
            </w:pPr>
            <w:r>
              <w:rPr>
                <w:color w:val="000000"/>
              </w:rPr>
              <w:t>8) Tiekėjas pažeidžia šios Sutarties nuostatas, reglamentuojančias konkurenciją, intelektinės nuosavybės ar konfidencialios informacijos valdymą;</w:t>
            </w:r>
          </w:p>
          <w:p w14:paraId="0000081B">
            <w:pPr>
              <w:pBdr>
                <w:top w:val="none" w:color="000000" w:sz="0" w:space="0"/>
                <w:left w:val="none" w:color="000000" w:sz="0" w:space="0"/>
                <w:bottom w:val="none" w:color="000000" w:sz="0" w:space="0"/>
                <w:right w:val="none" w:color="000000" w:sz="0" w:space="0"/>
                <w:between w:val="none" w:color="000000" w:sz="0" w:space="0"/>
              </w:pBdr>
              <w:tabs>
                <w:tab w:val="left" w:pos="567"/>
                <w:tab w:val="left" w:pos="851"/>
                <w:tab w:val="left" w:pos="992"/>
                <w:tab w:val="left" w:pos="1134"/>
              </w:tabs>
              <w:spacing w:line="256" w:lineRule="auto"/>
              <w:jc w:val="both"/>
              <w:rPr>
                <w:color w:val="000000"/>
              </w:rPr>
            </w:pPr>
            <w:r>
              <w:rPr>
                <w:color w:val="000000"/>
              </w:rPr>
              <w:t>9) Tiekėjas pažeidžia Bendrųjų sąlygų nuostatas dėl Sutarties vykdymui pasitelkiamų naujų subtiekėjų / esamų subtiekėjų keitimo.</w:t>
            </w:r>
          </w:p>
          <w:p w14:paraId="0000081C">
            <w:pPr>
              <w:pBdr>
                <w:top w:val="none" w:color="000000" w:sz="0" w:space="0"/>
                <w:left w:val="none" w:color="000000" w:sz="0" w:space="0"/>
                <w:bottom w:val="none" w:color="000000" w:sz="0" w:space="0"/>
                <w:right w:val="none" w:color="000000" w:sz="0" w:space="0"/>
                <w:between w:val="none" w:color="000000" w:sz="0" w:space="0"/>
              </w:pBdr>
              <w:spacing w:line="256" w:lineRule="auto"/>
              <w:jc w:val="both"/>
              <w:rPr>
                <w:color w:val="000000"/>
              </w:rPr>
            </w:pPr>
            <w:r>
              <w:rPr>
                <w:color w:val="000000"/>
              </w:rPr>
              <w:t>10) Nevykdo techninių aptarnavimų kaip numatyta transporto priemonės gamintojo. Turi  būti pridėtas dokumentas nurodantis aptarnavimų periodiškumą:</w:t>
            </w:r>
          </w:p>
          <w:p w14:paraId="0000081D">
            <w:pPr>
              <w:pBdr>
                <w:top w:val="none" w:color="000000" w:sz="0" w:space="0"/>
                <w:left w:val="none" w:color="000000" w:sz="0" w:space="0"/>
                <w:bottom w:val="none" w:color="000000" w:sz="0" w:space="0"/>
                <w:right w:val="none" w:color="000000" w:sz="0" w:space="0"/>
                <w:between w:val="none" w:color="000000" w:sz="0" w:space="0"/>
              </w:pBdr>
              <w:spacing w:line="256" w:lineRule="auto"/>
              <w:jc w:val="both"/>
              <w:rPr>
                <w:color w:val="000000"/>
              </w:rPr>
            </w:pPr>
            <w:r>
              <w:rPr>
                <w:color w:val="000000"/>
              </w:rPr>
              <w:t>11) Tiekėjas nepateikia privalomų dokuemntų atitikčiai įrodyti.</w:t>
            </w:r>
          </w:p>
        </w:tc>
      </w:tr>
      <w:tr w14:paraId="7505B835">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1F">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 xml:space="preserve">12. BENDRŲJŲ SĄLYGŲ PAKEITIMAI IR PAPILDYMAI </w:t>
            </w:r>
          </w:p>
          <w:p w14:paraId="00000820">
            <w:pPr>
              <w:pBdr>
                <w:top w:val="none" w:color="000000" w:sz="0" w:space="0"/>
                <w:left w:val="none" w:color="000000" w:sz="0" w:space="0"/>
                <w:bottom w:val="none" w:color="000000" w:sz="0" w:space="0"/>
                <w:right w:val="none" w:color="000000" w:sz="0" w:space="0"/>
                <w:between w:val="none" w:color="000000" w:sz="0" w:space="0"/>
              </w:pBdr>
              <w:jc w:val="center"/>
              <w:rPr>
                <w:i/>
                <w:color w:val="000000"/>
              </w:rPr>
            </w:pPr>
            <w:r>
              <w:rPr>
                <w:i/>
                <w:color w:val="000000"/>
              </w:rPr>
              <w:t xml:space="preserve">(jeigu būtina dėl konkretaus Sutarties dalyko specifikos) </w:t>
            </w:r>
          </w:p>
        </w:tc>
      </w:tr>
      <w:tr w14:paraId="7778B66C">
        <w:tblPrEx>
          <w:tblCellMar>
            <w:top w:w="0" w:type="dxa"/>
            <w:left w:w="10" w:type="dxa"/>
            <w:bottom w:w="0" w:type="dxa"/>
            <w:right w:w="10" w:type="dxa"/>
          </w:tblCellMar>
        </w:tblPrEx>
        <w:trPr>
          <w:trHeight w:val="300" w:hRule="atLeast"/>
        </w:trPr>
        <w:tc>
          <w:tcPr>
            <w:tcW w:w="2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23">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 xml:space="preserve">12.1. </w:t>
            </w:r>
          </w:p>
        </w:tc>
        <w:tc>
          <w:tcPr>
            <w:tcW w:w="6950"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24">
            <w:pPr>
              <w:pBdr>
                <w:top w:val="none" w:color="000000" w:sz="0" w:space="0"/>
                <w:left w:val="none" w:color="000000" w:sz="0" w:space="0"/>
                <w:bottom w:val="none" w:color="000000" w:sz="0" w:space="0"/>
                <w:right w:val="none" w:color="000000" w:sz="0" w:space="0"/>
                <w:between w:val="none" w:color="000000" w:sz="0" w:space="0"/>
              </w:pBdr>
              <w:rPr>
                <w:i/>
                <w:color w:val="4472C4"/>
              </w:rPr>
            </w:pPr>
            <w:r>
              <w:rPr>
                <w:i/>
                <w:color w:val="4472C4"/>
              </w:rPr>
              <w:t>(pildoma jei keičiamas Sutarties Bendrųjų sąlygų punktas (-i), jį (-uos) išdėstant nauja redakcija):</w:t>
            </w:r>
          </w:p>
          <w:p w14:paraId="00000825">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Šalys susitaria pakeisti nurodytą (-us) Sutarties Bendrųjų sąlygų punktą (-us) ir išdėstyti jį (juos) nauja redakcija įtraukiant: APLINKOSAUGINIAI IR SOCIALINIAI KRITERIJUS (taikoma, jeigu aplinkosauginiai ir (arba) socialiniai kriterijai nustatomi kaip Sutarties vykdymo sąlygos numato Alternatyvių degalų įstatymo nuostatų vykdymą.</w:t>
            </w:r>
          </w:p>
          <w:p w14:paraId="00000826">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Įtraukti Bendrųjų sąlygų 7.1.4. punktą:</w:t>
            </w:r>
          </w:p>
          <w:p w14:paraId="00000827">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7.1.4. Siūlomų transporto priemonių garantinį remontą, papildomai suteiktą, jei toks numatytas garantinį remontą, detalės,</w:t>
            </w:r>
          </w:p>
          <w:p w14:paraId="00000828">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 xml:space="preserve">sudedamosios dalys ir agregatai turi būti tiekiami ne trumpiau kaip  papildomai </w:t>
            </w:r>
            <w:r>
              <w:t>pasiūlyto</w:t>
            </w:r>
            <w:r>
              <w:rPr>
                <w:color w:val="000000"/>
              </w:rPr>
              <w:t xml:space="preserve"> garantinio termino laikotarpiu nuo autobuso įsigijimo datos.</w:t>
            </w:r>
          </w:p>
        </w:tc>
      </w:tr>
      <w:tr w14:paraId="6CFB4019">
        <w:tblPrEx>
          <w:tblCellMar>
            <w:top w:w="0" w:type="dxa"/>
            <w:left w:w="10" w:type="dxa"/>
            <w:bottom w:w="0" w:type="dxa"/>
            <w:right w:w="10" w:type="dxa"/>
          </w:tblCellMar>
        </w:tblPrEx>
        <w:trPr>
          <w:trHeight w:val="300" w:hRule="atLeast"/>
        </w:trPr>
        <w:tc>
          <w:tcPr>
            <w:tcW w:w="2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2A">
            <w:pPr>
              <w:pBdr>
                <w:top w:val="none" w:color="000000" w:sz="0" w:space="0"/>
                <w:left w:val="none" w:color="000000" w:sz="0" w:space="0"/>
                <w:bottom w:val="none" w:color="000000" w:sz="0" w:space="0"/>
                <w:right w:val="none" w:color="000000" w:sz="0" w:space="0"/>
                <w:between w:val="none" w:color="000000" w:sz="0" w:space="0"/>
              </w:pBdr>
              <w:rPr>
                <w:b/>
                <w:color w:val="000000"/>
              </w:rPr>
            </w:pPr>
            <w:r>
              <w:rPr>
                <w:b/>
                <w:color w:val="000000"/>
              </w:rPr>
              <w:t>12.2.</w:t>
            </w:r>
          </w:p>
        </w:tc>
        <w:tc>
          <w:tcPr>
            <w:tcW w:w="6950"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2B">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Sutarties Bendrosiose sąlygose nurodytos alternatyvios nuostatos (su prierašu „jei taikoma“, „jei tokių būtų“, „jei tokių yra“ ar pan.) taikomos tik tokiu atveju, jeigu jos konkrečiai aprašomos Sutarties Specialiosiose sąlygose.</w:t>
            </w:r>
          </w:p>
        </w:tc>
      </w:tr>
      <w:tr w14:paraId="7DD6EA73">
        <w:tblPrEx>
          <w:tblCellMar>
            <w:top w:w="0" w:type="dxa"/>
            <w:left w:w="10" w:type="dxa"/>
            <w:bottom w:w="0" w:type="dxa"/>
            <w:right w:w="10" w:type="dxa"/>
          </w:tblCellMar>
        </w:tblPrEx>
        <w:trPr>
          <w:trHeight w:val="300" w:hRule="atLeast"/>
        </w:trPr>
        <w:tc>
          <w:tcPr>
            <w:tcW w:w="9482" w:type="dxa"/>
            <w:gridSpan w:val="3"/>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2D">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13. SUTARTIES PRIEDAI</w:t>
            </w:r>
          </w:p>
        </w:tc>
      </w:tr>
      <w:tr w14:paraId="38ED4938">
        <w:tblPrEx>
          <w:tblCellMar>
            <w:top w:w="0" w:type="dxa"/>
            <w:left w:w="10" w:type="dxa"/>
            <w:bottom w:w="0" w:type="dxa"/>
            <w:right w:w="10" w:type="dxa"/>
          </w:tblCellMar>
        </w:tblPrEx>
        <w:trPr>
          <w:trHeight w:val="300" w:hRule="atLeast"/>
        </w:trPr>
        <w:tc>
          <w:tcPr>
            <w:tcW w:w="2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0">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12.1. Priedas Nr. 1</w:t>
            </w:r>
          </w:p>
        </w:tc>
        <w:tc>
          <w:tcPr>
            <w:tcW w:w="6950"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1">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 xml:space="preserve">Akto forma </w:t>
            </w:r>
          </w:p>
        </w:tc>
      </w:tr>
      <w:tr w14:paraId="1CB069FB">
        <w:tblPrEx>
          <w:tblCellMar>
            <w:top w:w="0" w:type="dxa"/>
            <w:left w:w="10" w:type="dxa"/>
            <w:bottom w:w="0" w:type="dxa"/>
            <w:right w:w="10" w:type="dxa"/>
          </w:tblCellMar>
        </w:tblPrEx>
        <w:trPr>
          <w:trHeight w:val="300" w:hRule="atLeast"/>
        </w:trPr>
        <w:tc>
          <w:tcPr>
            <w:tcW w:w="2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7CA9AA39">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12.1. Priedas Nr. 2</w:t>
            </w:r>
          </w:p>
        </w:tc>
        <w:tc>
          <w:tcPr>
            <w:tcW w:w="6950"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13F442B9">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Techninė specifikacija</w:t>
            </w:r>
          </w:p>
        </w:tc>
      </w:tr>
      <w:tr w14:paraId="021EC489">
        <w:tblPrEx>
          <w:tblCellMar>
            <w:top w:w="0" w:type="dxa"/>
            <w:left w:w="10" w:type="dxa"/>
            <w:bottom w:w="0" w:type="dxa"/>
            <w:right w:w="10" w:type="dxa"/>
          </w:tblCellMar>
        </w:tblPrEx>
        <w:trPr>
          <w:trHeight w:val="300" w:hRule="atLeast"/>
        </w:trPr>
        <w:tc>
          <w:tcPr>
            <w:tcW w:w="253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3">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12.2. Priedas Nr. 3</w:t>
            </w:r>
          </w:p>
        </w:tc>
        <w:tc>
          <w:tcPr>
            <w:tcW w:w="6950"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4">
            <w:pPr>
              <w:pBdr>
                <w:top w:val="none" w:color="000000" w:sz="0" w:space="0"/>
                <w:left w:val="none" w:color="000000" w:sz="0" w:space="0"/>
                <w:bottom w:val="none" w:color="000000" w:sz="0" w:space="0"/>
                <w:right w:val="none" w:color="000000" w:sz="0" w:space="0"/>
                <w:between w:val="none" w:color="000000" w:sz="0" w:space="0"/>
              </w:pBdr>
              <w:rPr>
                <w:color w:val="000000"/>
              </w:rPr>
            </w:pPr>
            <w:r>
              <w:rPr>
                <w:color w:val="000000"/>
              </w:rPr>
              <w:t>Tiekėjo pasiūlymas</w:t>
            </w:r>
          </w:p>
        </w:tc>
      </w:tr>
    </w:tbl>
    <w:p w14:paraId="00000836">
      <w:pPr>
        <w:pBdr>
          <w:top w:val="none" w:color="000000" w:sz="0" w:space="0"/>
          <w:left w:val="none" w:color="000000" w:sz="0" w:space="0"/>
          <w:bottom w:val="none" w:color="000000" w:sz="0" w:space="0"/>
          <w:right w:val="none" w:color="000000" w:sz="0" w:space="0"/>
          <w:between w:val="none" w:color="000000" w:sz="0" w:space="0"/>
        </w:pBdr>
        <w:jc w:val="both"/>
        <w:rPr>
          <w:color w:val="000000"/>
        </w:rPr>
      </w:pPr>
    </w:p>
    <w:p w14:paraId="00000837">
      <w:pPr>
        <w:pBdr>
          <w:top w:val="none" w:color="000000" w:sz="0" w:space="0"/>
          <w:left w:val="none" w:color="000000" w:sz="0" w:space="0"/>
          <w:bottom w:val="none" w:color="000000" w:sz="0" w:space="0"/>
          <w:right w:val="none" w:color="000000" w:sz="0" w:space="0"/>
          <w:between w:val="none" w:color="000000" w:sz="0" w:space="0"/>
        </w:pBdr>
        <w:jc w:val="both"/>
        <w:rPr>
          <w:color w:val="000000"/>
        </w:rPr>
      </w:pPr>
    </w:p>
    <w:tbl>
      <w:tblPr>
        <w:tblStyle w:val="153"/>
        <w:tblW w:w="9322" w:type="dxa"/>
        <w:tblInd w:w="0" w:type="dxa"/>
        <w:tblLayout w:type="fixed"/>
        <w:tblCellMar>
          <w:top w:w="0" w:type="dxa"/>
          <w:left w:w="10" w:type="dxa"/>
          <w:bottom w:w="0" w:type="dxa"/>
          <w:right w:w="10" w:type="dxa"/>
        </w:tblCellMar>
      </w:tblPr>
      <w:tblGrid>
        <w:gridCol w:w="4788"/>
        <w:gridCol w:w="4534"/>
      </w:tblGrid>
      <w:tr w14:paraId="7166716A">
        <w:tblPrEx>
          <w:tblCellMar>
            <w:top w:w="0" w:type="dxa"/>
            <w:left w:w="10" w:type="dxa"/>
            <w:bottom w:w="0" w:type="dxa"/>
            <w:right w:w="10" w:type="dxa"/>
          </w:tblCellMar>
        </w:tblPrEx>
        <w:tc>
          <w:tcPr>
            <w:tcW w:w="932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8">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15. ŠALIŲ ATSTOVŲ PARAŠAI</w:t>
            </w:r>
          </w:p>
        </w:tc>
      </w:tr>
      <w:tr w14:paraId="0219F1D1">
        <w:tblPrEx>
          <w:tblCellMar>
            <w:top w:w="0" w:type="dxa"/>
            <w:left w:w="10" w:type="dxa"/>
            <w:bottom w:w="0" w:type="dxa"/>
            <w:right w:w="10" w:type="dxa"/>
          </w:tblCellMar>
        </w:tblPrEx>
        <w:tc>
          <w:tcPr>
            <w:tcW w:w="47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A">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PIRKĖJAS</w:t>
            </w:r>
          </w:p>
        </w:tc>
        <w:tc>
          <w:tcPr>
            <w:tcW w:w="45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B">
            <w:pPr>
              <w:pBdr>
                <w:top w:val="none" w:color="000000" w:sz="0" w:space="0"/>
                <w:left w:val="none" w:color="000000" w:sz="0" w:space="0"/>
                <w:bottom w:val="none" w:color="000000" w:sz="0" w:space="0"/>
                <w:right w:val="none" w:color="000000" w:sz="0" w:space="0"/>
                <w:between w:val="none" w:color="000000" w:sz="0" w:space="0"/>
              </w:pBdr>
              <w:jc w:val="center"/>
              <w:rPr>
                <w:b/>
                <w:color w:val="000000"/>
              </w:rPr>
            </w:pPr>
            <w:r>
              <w:rPr>
                <w:b/>
                <w:color w:val="000000"/>
              </w:rPr>
              <w:t>TIEKĖJAS</w:t>
            </w:r>
          </w:p>
        </w:tc>
      </w:tr>
      <w:tr w14:paraId="385E7E2C">
        <w:tblPrEx>
          <w:tblCellMar>
            <w:top w:w="0" w:type="dxa"/>
            <w:left w:w="10" w:type="dxa"/>
            <w:bottom w:w="0" w:type="dxa"/>
            <w:right w:w="10" w:type="dxa"/>
          </w:tblCellMar>
        </w:tblPrEx>
        <w:tc>
          <w:tcPr>
            <w:tcW w:w="47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C">
            <w:pPr>
              <w:pBdr>
                <w:top w:val="none" w:color="000000" w:sz="0" w:space="0"/>
                <w:left w:val="none" w:color="000000" w:sz="0" w:space="0"/>
                <w:bottom w:val="none" w:color="000000" w:sz="0" w:space="0"/>
                <w:right w:val="none" w:color="000000" w:sz="0" w:space="0"/>
                <w:between w:val="none" w:color="000000" w:sz="0" w:space="0"/>
              </w:pBdr>
              <w:jc w:val="center"/>
              <w:rPr>
                <w:i/>
                <w:color w:val="4472C4"/>
              </w:rPr>
            </w:pPr>
            <w:r>
              <w:rPr>
                <w:i/>
                <w:color w:val="4472C4"/>
              </w:rPr>
              <w:t>(nurodomos atstovo pareigos, vardas, pavardė)</w:t>
            </w:r>
          </w:p>
        </w:tc>
        <w:tc>
          <w:tcPr>
            <w:tcW w:w="45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D">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i/>
                <w:color w:val="4472C4"/>
              </w:rPr>
              <w:t>(nurodomos atstovo pareigos, vardas, pavardė)</w:t>
            </w:r>
          </w:p>
        </w:tc>
      </w:tr>
      <w:tr w14:paraId="1C1B2E03">
        <w:tblPrEx>
          <w:tblCellMar>
            <w:top w:w="0" w:type="dxa"/>
            <w:left w:w="10" w:type="dxa"/>
            <w:bottom w:w="0" w:type="dxa"/>
            <w:right w:w="10" w:type="dxa"/>
          </w:tblCellMar>
        </w:tblPrEx>
        <w:tc>
          <w:tcPr>
            <w:tcW w:w="478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3E">
            <w:pPr>
              <w:pBdr>
                <w:top w:val="none" w:color="000000" w:sz="0" w:space="0"/>
                <w:left w:val="none" w:color="000000" w:sz="0" w:space="0"/>
                <w:bottom w:val="none" w:color="000000" w:sz="0" w:space="0"/>
                <w:right w:val="none" w:color="000000" w:sz="0" w:space="0"/>
                <w:between w:val="none" w:color="000000" w:sz="0" w:space="0"/>
              </w:pBdr>
              <w:jc w:val="both"/>
              <w:rPr>
                <w:b/>
                <w:i/>
                <w:color w:val="000000"/>
              </w:rPr>
            </w:pPr>
          </w:p>
          <w:p w14:paraId="0000083F">
            <w:pPr>
              <w:pBdr>
                <w:top w:val="none" w:color="000000" w:sz="0" w:space="0"/>
                <w:left w:val="none" w:color="000000" w:sz="0" w:space="0"/>
                <w:bottom w:val="none" w:color="000000" w:sz="0" w:space="0"/>
                <w:right w:val="none" w:color="000000" w:sz="0" w:space="0"/>
                <w:between w:val="none" w:color="000000" w:sz="0" w:space="0"/>
              </w:pBdr>
              <w:jc w:val="center"/>
              <w:rPr>
                <w:color w:val="000000"/>
              </w:rPr>
            </w:pPr>
            <w:r>
              <w:rPr>
                <w:b/>
                <w:i/>
                <w:color w:val="9CC2E5"/>
              </w:rPr>
              <w:t>(parašas)</w:t>
            </w:r>
          </w:p>
        </w:tc>
        <w:tc>
          <w:tcPr>
            <w:tcW w:w="453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14:paraId="00000840">
            <w:pPr>
              <w:pBdr>
                <w:top w:val="none" w:color="000000" w:sz="0" w:space="0"/>
                <w:left w:val="none" w:color="000000" w:sz="0" w:space="0"/>
                <w:bottom w:val="none" w:color="000000" w:sz="0" w:space="0"/>
                <w:right w:val="none" w:color="000000" w:sz="0" w:space="0"/>
                <w:between w:val="none" w:color="000000" w:sz="0" w:space="0"/>
              </w:pBdr>
              <w:jc w:val="center"/>
              <w:rPr>
                <w:b/>
                <w:i/>
                <w:color w:val="4472C4"/>
              </w:rPr>
            </w:pPr>
          </w:p>
          <w:p w14:paraId="00000841">
            <w:pPr>
              <w:pBdr>
                <w:top w:val="none" w:color="000000" w:sz="0" w:space="0"/>
                <w:left w:val="none" w:color="000000" w:sz="0" w:space="0"/>
                <w:bottom w:val="none" w:color="000000" w:sz="0" w:space="0"/>
                <w:right w:val="none" w:color="000000" w:sz="0" w:space="0"/>
                <w:between w:val="none" w:color="000000" w:sz="0" w:space="0"/>
              </w:pBdr>
              <w:jc w:val="center"/>
              <w:rPr>
                <w:b/>
                <w:i/>
                <w:color w:val="4472C4"/>
              </w:rPr>
            </w:pPr>
            <w:r>
              <w:rPr>
                <w:b/>
                <w:i/>
                <w:color w:val="4472C4"/>
              </w:rPr>
              <w:t>(parašas)</w:t>
            </w:r>
          </w:p>
        </w:tc>
      </w:tr>
    </w:tbl>
    <w:p w14:paraId="00000843">
      <w:pPr>
        <w:widowControl w:val="0"/>
        <w:pBdr>
          <w:top w:val="none" w:color="000000" w:sz="0" w:space="0"/>
          <w:left w:val="none" w:color="000000" w:sz="0" w:space="0"/>
          <w:bottom w:val="none" w:color="000000" w:sz="0" w:space="0"/>
          <w:right w:val="none" w:color="000000" w:sz="0" w:space="0"/>
          <w:between w:val="none" w:color="000000" w:sz="0" w:space="0"/>
        </w:pBdr>
        <w:ind w:hanging="24"/>
        <w:jc w:val="right"/>
        <w:rPr>
          <w:i/>
          <w:color w:val="000000"/>
        </w:rPr>
      </w:pPr>
      <w:bookmarkStart w:id="30" w:name="_heading=h.kq4capvoccxl" w:colFirst="0" w:colLast="0"/>
      <w:bookmarkEnd w:id="30"/>
    </w:p>
    <w:p w14:paraId="4FF5D4AD">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2CCC40BB">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3DBC6EA4">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2F5F0249">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4AD9C81E">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4A3A582D">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0A45F264">
      <w:pPr>
        <w:widowControl w:val="0"/>
        <w:pBdr>
          <w:top w:val="none" w:color="000000" w:sz="0" w:space="0"/>
          <w:left w:val="none" w:color="000000" w:sz="0" w:space="0"/>
          <w:bottom w:val="none" w:color="000000" w:sz="0" w:space="0"/>
          <w:right w:val="none" w:color="000000" w:sz="0" w:space="0"/>
          <w:between w:val="none" w:color="000000" w:sz="0" w:space="0"/>
        </w:pBdr>
        <w:rPr>
          <w:b/>
          <w:color w:val="000000"/>
        </w:rPr>
      </w:pPr>
    </w:p>
    <w:p w14:paraId="512E3800">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7DB25FA0">
      <w:pPr>
        <w:widowControl w:val="0"/>
        <w:pBdr>
          <w:top w:val="none" w:color="000000" w:sz="0" w:space="0"/>
          <w:left w:val="none" w:color="000000" w:sz="0" w:space="0"/>
          <w:bottom w:val="none" w:color="000000" w:sz="0" w:space="0"/>
          <w:right w:val="none" w:color="000000" w:sz="0" w:space="0"/>
          <w:between w:val="none" w:color="000000" w:sz="0" w:space="0"/>
        </w:pBdr>
        <w:ind w:firstLine="720"/>
        <w:jc w:val="right"/>
        <w:rPr>
          <w:b/>
          <w:color w:val="000000"/>
        </w:rPr>
      </w:pPr>
      <w:r>
        <w:rPr>
          <w:b/>
          <w:color w:val="000000"/>
        </w:rPr>
        <w:t>Priedas Nr. 1</w:t>
      </w:r>
    </w:p>
    <w:p w14:paraId="508B895F">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73810B00">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00000844">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color w:val="000000"/>
        </w:rPr>
      </w:pPr>
      <w:r>
        <w:rPr>
          <w:b/>
          <w:color w:val="000000"/>
        </w:rPr>
        <w:t>PREKIŲ PERDAVIMO–PRIĖMIMO AKTŲ FORMA Nr.__________</w:t>
      </w:r>
    </w:p>
    <w:p w14:paraId="00000845">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i/>
          <w:color w:val="000000"/>
        </w:rPr>
      </w:pPr>
      <w:r>
        <w:rPr>
          <w:i/>
          <w:color w:val="000000"/>
        </w:rPr>
        <w:t>(Pildomas tik tuomet, kai Sutartyje numatytas Tiekėjo sutartinių įsipareigojimų vykdymas dalimis)</w:t>
      </w:r>
    </w:p>
    <w:p w14:paraId="00000846">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color w:val="000000"/>
        </w:rPr>
      </w:pPr>
      <w:r>
        <w:rPr>
          <w:color w:val="000000"/>
        </w:rPr>
        <w:t>_______________</w:t>
      </w:r>
    </w:p>
    <w:p w14:paraId="00000847">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i/>
          <w:color w:val="000000"/>
        </w:rPr>
      </w:pPr>
      <w:r>
        <w:rPr>
          <w:i/>
          <w:color w:val="000000"/>
        </w:rPr>
        <w:t>(įrašoma data)</w:t>
      </w:r>
    </w:p>
    <w:p w14:paraId="00000848">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i/>
          <w:color w:val="000000"/>
        </w:rPr>
      </w:pPr>
      <w:r>
        <w:rPr>
          <w:i/>
          <w:color w:val="000000"/>
        </w:rPr>
        <w:t>(Sudarymo vieta)</w:t>
      </w:r>
    </w:p>
    <w:tbl>
      <w:tblPr>
        <w:tblStyle w:val="154"/>
        <w:tblW w:w="9665" w:type="dxa"/>
        <w:tblInd w:w="108" w:type="dxa"/>
        <w:tblLayout w:type="fixed"/>
        <w:tblCellMar>
          <w:top w:w="0" w:type="dxa"/>
          <w:left w:w="10" w:type="dxa"/>
          <w:bottom w:w="0" w:type="dxa"/>
          <w:right w:w="10" w:type="dxa"/>
        </w:tblCellMar>
      </w:tblPr>
      <w:tblGrid>
        <w:gridCol w:w="9665"/>
      </w:tblGrid>
      <w:tr w14:paraId="59C0F345">
        <w:tblPrEx>
          <w:tblCellMar>
            <w:top w:w="0" w:type="dxa"/>
            <w:left w:w="10" w:type="dxa"/>
            <w:bottom w:w="0" w:type="dxa"/>
            <w:right w:w="10" w:type="dxa"/>
          </w:tblCellMar>
        </w:tblPrEx>
        <w:trPr>
          <w:trHeight w:val="246" w:hRule="atLeast"/>
        </w:trPr>
        <w:tc>
          <w:tcPr>
            <w:tcW w:w="966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00000849">
            <w:pPr>
              <w:widowControl w:val="0"/>
              <w:pBdr>
                <w:top w:val="none" w:color="000000" w:sz="0" w:space="0"/>
                <w:left w:val="none" w:color="000000" w:sz="0" w:space="0"/>
                <w:bottom w:val="none" w:color="000000" w:sz="0" w:space="0"/>
                <w:right w:val="none" w:color="000000" w:sz="0" w:space="0"/>
                <w:between w:val="none" w:color="000000" w:sz="0" w:space="0"/>
              </w:pBdr>
              <w:ind w:firstLine="60"/>
              <w:rPr>
                <w:b/>
                <w:color w:val="000000"/>
              </w:rPr>
            </w:pPr>
            <w:r>
              <w:rPr>
                <w:b/>
                <w:color w:val="000000"/>
              </w:rPr>
              <w:t>Užsakovas:</w:t>
            </w:r>
          </w:p>
        </w:tc>
      </w:tr>
      <w:tr w14:paraId="5A417129">
        <w:tblPrEx>
          <w:tblCellMar>
            <w:top w:w="0" w:type="dxa"/>
            <w:left w:w="10" w:type="dxa"/>
            <w:bottom w:w="0" w:type="dxa"/>
            <w:right w:w="10" w:type="dxa"/>
          </w:tblCellMar>
        </w:tblPrEx>
        <w:trPr>
          <w:trHeight w:val="570" w:hRule="atLeast"/>
        </w:trPr>
        <w:tc>
          <w:tcPr>
            <w:tcW w:w="966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0000084A">
            <w:pPr>
              <w:widowControl w:val="0"/>
              <w:pBdr>
                <w:top w:val="none" w:color="000000" w:sz="0" w:space="0"/>
                <w:left w:val="none" w:color="000000" w:sz="0" w:space="0"/>
                <w:bottom w:val="none" w:color="000000" w:sz="0" w:space="0"/>
                <w:right w:val="none" w:color="000000" w:sz="0" w:space="0"/>
                <w:between w:val="none" w:color="000000" w:sz="0" w:space="0"/>
              </w:pBdr>
              <w:ind w:firstLine="60"/>
              <w:rPr>
                <w:b/>
                <w:color w:val="000000"/>
              </w:rPr>
            </w:pPr>
            <w:r>
              <w:rPr>
                <w:b/>
                <w:color w:val="000000"/>
              </w:rPr>
              <w:t>Tiekėjas:</w:t>
            </w:r>
          </w:p>
          <w:p w14:paraId="0000084B">
            <w:pPr>
              <w:widowControl w:val="0"/>
              <w:pBdr>
                <w:top w:val="none" w:color="000000" w:sz="0" w:space="0"/>
                <w:left w:val="none" w:color="000000" w:sz="0" w:space="0"/>
                <w:bottom w:val="none" w:color="000000" w:sz="0" w:space="0"/>
                <w:right w:val="none" w:color="000000" w:sz="0" w:space="0"/>
                <w:between w:val="none" w:color="000000" w:sz="0" w:space="0"/>
              </w:pBdr>
              <w:ind w:firstLine="60"/>
              <w:jc w:val="both"/>
              <w:rPr>
                <w:color w:val="000000"/>
              </w:rPr>
            </w:pPr>
            <w:r>
              <w:rPr>
                <w:color w:val="000000"/>
              </w:rPr>
              <w:t xml:space="preserve">(jei tai tiekėjų grupė, nurodyti: </w:t>
            </w:r>
            <w:r>
              <w:rPr>
                <w:i/>
                <w:color w:val="000000"/>
              </w:rPr>
              <w:t>(jungtinės veiklos sutarties pagrindu veikianti tiekėjų grupė, sudaryta iš: (nurodyti visų ūkio subjektų pavadinimus), atstovaujamas atsakingojo partnerio (nurodyti atsakingojo partnerio pavadinimą)</w:t>
            </w:r>
          </w:p>
        </w:tc>
      </w:tr>
      <w:tr w14:paraId="1B9F1C98">
        <w:tblPrEx>
          <w:tblCellMar>
            <w:top w:w="0" w:type="dxa"/>
            <w:left w:w="10" w:type="dxa"/>
            <w:bottom w:w="0" w:type="dxa"/>
            <w:right w:w="10" w:type="dxa"/>
          </w:tblCellMar>
        </w:tblPrEx>
        <w:trPr>
          <w:trHeight w:val="269" w:hRule="atLeast"/>
        </w:trPr>
        <w:tc>
          <w:tcPr>
            <w:tcW w:w="966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0000084C">
            <w:pPr>
              <w:widowControl w:val="0"/>
              <w:pBdr>
                <w:top w:val="none" w:color="000000" w:sz="0" w:space="0"/>
                <w:left w:val="none" w:color="000000" w:sz="0" w:space="0"/>
                <w:bottom w:val="none" w:color="000000" w:sz="0" w:space="0"/>
                <w:right w:val="none" w:color="000000" w:sz="0" w:space="0"/>
                <w:between w:val="none" w:color="000000" w:sz="0" w:space="0"/>
              </w:pBdr>
              <w:ind w:firstLine="60"/>
              <w:rPr>
                <w:color w:val="000000"/>
              </w:rPr>
            </w:pPr>
            <w:r>
              <w:rPr>
                <w:b/>
                <w:color w:val="000000"/>
              </w:rPr>
              <w:t>Sutarties Nr.:</w:t>
            </w:r>
          </w:p>
        </w:tc>
      </w:tr>
      <w:tr w14:paraId="4218BFDF">
        <w:tblPrEx>
          <w:tblCellMar>
            <w:top w:w="0" w:type="dxa"/>
            <w:left w:w="10" w:type="dxa"/>
            <w:bottom w:w="0" w:type="dxa"/>
            <w:right w:w="10" w:type="dxa"/>
          </w:tblCellMar>
        </w:tblPrEx>
        <w:trPr>
          <w:trHeight w:val="274" w:hRule="atLeast"/>
        </w:trPr>
        <w:tc>
          <w:tcPr>
            <w:tcW w:w="966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14:paraId="0000084D">
            <w:pPr>
              <w:widowControl w:val="0"/>
              <w:pBdr>
                <w:top w:val="none" w:color="000000" w:sz="0" w:space="0"/>
                <w:left w:val="none" w:color="000000" w:sz="0" w:space="0"/>
                <w:bottom w:val="none" w:color="000000" w:sz="0" w:space="0"/>
                <w:right w:val="none" w:color="000000" w:sz="0" w:space="0"/>
                <w:between w:val="none" w:color="000000" w:sz="0" w:space="0"/>
              </w:pBdr>
              <w:ind w:firstLine="60"/>
              <w:rPr>
                <w:color w:val="000000"/>
              </w:rPr>
            </w:pPr>
            <w:r>
              <w:rPr>
                <w:b/>
                <w:color w:val="000000"/>
              </w:rPr>
              <w:t xml:space="preserve">Sutarties pavadinimas: </w:t>
            </w:r>
          </w:p>
        </w:tc>
      </w:tr>
    </w:tbl>
    <w:p w14:paraId="0000084E">
      <w:pPr>
        <w:widowControl w:val="0"/>
        <w:pBdr>
          <w:top w:val="none" w:color="000000" w:sz="0" w:space="0"/>
          <w:left w:val="none" w:color="000000" w:sz="0" w:space="0"/>
          <w:bottom w:val="none" w:color="000000" w:sz="0" w:space="0"/>
          <w:right w:val="none" w:color="000000" w:sz="0" w:space="0"/>
          <w:between w:val="none" w:color="000000" w:sz="0" w:space="0"/>
        </w:pBdr>
        <w:ind w:firstLine="720"/>
        <w:jc w:val="both"/>
        <w:rPr>
          <w:i/>
          <w:color w:val="000000"/>
        </w:rPr>
      </w:pPr>
    </w:p>
    <w:p w14:paraId="0000084F">
      <w:pPr>
        <w:pBdr>
          <w:top w:val="none" w:color="000000" w:sz="0" w:space="0"/>
          <w:left w:val="none" w:color="000000" w:sz="0" w:space="0"/>
          <w:bottom w:val="none" w:color="000000" w:sz="0" w:space="0"/>
          <w:right w:val="none" w:color="000000" w:sz="0" w:space="0"/>
          <w:between w:val="none" w:color="000000" w:sz="0" w:space="0"/>
        </w:pBdr>
        <w:tabs>
          <w:tab w:val="left" w:pos="993"/>
        </w:tabs>
        <w:ind w:firstLine="567"/>
        <w:jc w:val="both"/>
        <w:rPr>
          <w:color w:val="000000"/>
        </w:rPr>
      </w:pPr>
      <w:r>
        <w:rPr>
          <w:b/>
          <w:color w:val="000000"/>
        </w:rPr>
        <w:t>Tiekėjas</w:t>
      </w:r>
      <w:r>
        <w:rPr>
          <w:color w:val="000000"/>
        </w:rPr>
        <w:t xml:space="preserve"> šiuo prekių perdavimo – priėmimo aktu patvirtina, kad jis pristatė </w:t>
      </w:r>
      <w:r>
        <w:rPr>
          <w:i/>
          <w:color w:val="FF0000"/>
        </w:rPr>
        <w:t>prekes ( objekto pavadinimas, pristatymo data)</w:t>
      </w:r>
      <w:r>
        <w:rPr>
          <w:color w:val="000000"/>
        </w:rPr>
        <w:t xml:space="preserve"> ir Užsakovui perduoda: _______________________________________________________________________________________________________________________________________________________________________________, nurodytų Sutartyje.</w:t>
      </w:r>
      <w:r>
        <w:rPr>
          <w:i/>
          <w:color w:val="000000"/>
        </w:rPr>
        <w:t xml:space="preserve"> </w:t>
      </w:r>
    </w:p>
    <w:p w14:paraId="00000850">
      <w:pPr>
        <w:pBdr>
          <w:top w:val="none" w:color="000000" w:sz="0" w:space="0"/>
          <w:left w:val="none" w:color="000000" w:sz="0" w:space="0"/>
          <w:bottom w:val="none" w:color="000000" w:sz="0" w:space="0"/>
          <w:right w:val="none" w:color="000000" w:sz="0" w:space="0"/>
          <w:between w:val="none" w:color="000000" w:sz="0" w:space="0"/>
        </w:pBdr>
        <w:tabs>
          <w:tab w:val="left" w:pos="993"/>
        </w:tabs>
        <w:ind w:firstLine="567"/>
        <w:jc w:val="both"/>
        <w:rPr>
          <w:b/>
          <w:color w:val="000000"/>
        </w:rPr>
      </w:pPr>
    </w:p>
    <w:p w14:paraId="00000851">
      <w:pPr>
        <w:pBdr>
          <w:top w:val="none" w:color="000000" w:sz="0" w:space="0"/>
          <w:left w:val="none" w:color="000000" w:sz="0" w:space="0"/>
          <w:bottom w:val="none" w:color="000000" w:sz="0" w:space="0"/>
          <w:right w:val="none" w:color="000000" w:sz="0" w:space="0"/>
          <w:between w:val="none" w:color="000000" w:sz="0" w:space="0"/>
        </w:pBdr>
        <w:tabs>
          <w:tab w:val="left" w:pos="993"/>
        </w:tabs>
        <w:ind w:firstLine="567"/>
        <w:jc w:val="both"/>
        <w:rPr>
          <w:color w:val="000000"/>
        </w:rPr>
      </w:pPr>
      <w:r>
        <w:rPr>
          <w:b/>
          <w:color w:val="000000"/>
        </w:rPr>
        <w:t xml:space="preserve">Užsakovas: </w:t>
      </w:r>
    </w:p>
    <w:p w14:paraId="00000852">
      <w:pPr>
        <w:pBdr>
          <w:top w:val="none" w:color="000000" w:sz="0" w:space="0"/>
          <w:left w:val="none" w:color="000000" w:sz="0" w:space="0"/>
          <w:bottom w:val="none" w:color="000000" w:sz="0" w:space="0"/>
          <w:right w:val="none" w:color="000000" w:sz="0" w:space="0"/>
          <w:between w:val="none" w:color="000000" w:sz="0" w:space="0"/>
        </w:pBdr>
        <w:tabs>
          <w:tab w:val="left" w:pos="993"/>
        </w:tabs>
        <w:ind w:firstLine="567"/>
        <w:jc w:val="both"/>
        <w:rPr>
          <w:color w:val="000000"/>
        </w:rPr>
      </w:pPr>
      <w:r>
        <w:rPr>
          <w:color w:val="000000"/>
        </w:rPr>
        <w:t xml:space="preserve"> Priima ir patvirtina, kad: visos prekės pristatytos laiku bei atitinka Sutartyje ir jos prieduose nustatytus reikalavimus; yra pateikti visi reikalingi dokumentai (</w:t>
      </w:r>
      <w:r>
        <w:rPr>
          <w:i/>
          <w:color w:val="000000"/>
        </w:rPr>
        <w:t>sertifikatai, naudojimo ir priežiūros instrukcijos, garantiniai pažymėjimai (pasai) ir kt. dokumentai, jei tokie dokumentai turėjo būti pateikti pagal Sutarties nuostatas ar LR teisės aktų reikalavimus</w:t>
      </w:r>
      <w:r>
        <w:rPr>
          <w:color w:val="000000"/>
        </w:rPr>
        <w:t xml:space="preserve">). Mokymai įvykdyti. </w:t>
      </w:r>
    </w:p>
    <w:p w14:paraId="00000853">
      <w:pPr>
        <w:pBdr>
          <w:top w:val="none" w:color="000000" w:sz="0" w:space="0"/>
          <w:left w:val="none" w:color="000000" w:sz="0" w:space="0"/>
          <w:bottom w:val="none" w:color="000000" w:sz="0" w:space="0"/>
          <w:right w:val="none" w:color="000000" w:sz="0" w:space="0"/>
          <w:between w:val="none" w:color="000000" w:sz="0" w:space="0"/>
        </w:pBdr>
        <w:tabs>
          <w:tab w:val="left" w:pos="993"/>
        </w:tabs>
        <w:ind w:firstLine="567"/>
        <w:jc w:val="both"/>
        <w:rPr>
          <w:color w:val="000000"/>
        </w:rPr>
      </w:pPr>
    </w:p>
    <w:p w14:paraId="00000854">
      <w:pPr>
        <w:pBdr>
          <w:top w:val="none" w:color="000000" w:sz="0" w:space="0"/>
          <w:left w:val="none" w:color="000000" w:sz="0" w:space="0"/>
          <w:bottom w:val="none" w:color="000000" w:sz="0" w:space="0"/>
          <w:right w:val="none" w:color="000000" w:sz="0" w:space="0"/>
          <w:between w:val="none" w:color="000000" w:sz="0" w:space="0"/>
        </w:pBdr>
        <w:tabs>
          <w:tab w:val="left" w:pos="993"/>
        </w:tabs>
        <w:ind w:firstLine="567"/>
        <w:jc w:val="both"/>
        <w:rPr>
          <w:color w:val="000000"/>
        </w:rPr>
      </w:pPr>
      <w:r>
        <w:rPr>
          <w:color w:val="000000"/>
        </w:rPr>
        <w:t xml:space="preserve"> Prekės (-ę) buvo pristatytos </w:t>
      </w:r>
      <w:r>
        <w:rPr>
          <w:i/>
          <w:color w:val="000000"/>
        </w:rPr>
        <w:t>ir kiti Tiekėjo įsipareigojimai ne</w:t>
      </w:r>
      <w:r>
        <w:rPr>
          <w:color w:val="000000"/>
        </w:rPr>
        <w:t>praleidus Sutartyje nustatytą terminą:</w:t>
      </w:r>
      <w:r>
        <w:rPr>
          <w:i/>
          <w:color w:val="000000"/>
        </w:rPr>
        <w:t xml:space="preserve"> ________________________________________________________________________________________.</w:t>
      </w:r>
    </w:p>
    <w:p w14:paraId="00000855">
      <w:pPr>
        <w:pBdr>
          <w:top w:val="none" w:color="000000" w:sz="0" w:space="0"/>
          <w:left w:val="none" w:color="000000" w:sz="0" w:space="0"/>
          <w:bottom w:val="none" w:color="000000" w:sz="0" w:space="0"/>
          <w:right w:val="none" w:color="000000" w:sz="0" w:space="0"/>
          <w:between w:val="none" w:color="000000" w:sz="0" w:space="0"/>
        </w:pBdr>
        <w:tabs>
          <w:tab w:val="left" w:pos="993"/>
        </w:tabs>
        <w:ind w:hanging="426"/>
        <w:jc w:val="both"/>
        <w:rPr>
          <w:color w:val="000000"/>
        </w:rPr>
      </w:pPr>
    </w:p>
    <w:p w14:paraId="00000856">
      <w:pPr>
        <w:pBdr>
          <w:top w:val="none" w:color="000000" w:sz="0" w:space="0"/>
          <w:left w:val="none" w:color="000000" w:sz="0" w:space="0"/>
          <w:bottom w:val="none" w:color="000000" w:sz="0" w:space="0"/>
          <w:right w:val="none" w:color="000000" w:sz="0" w:space="0"/>
          <w:between w:val="none" w:color="000000" w:sz="0" w:space="0"/>
        </w:pBdr>
        <w:ind w:firstLine="567"/>
        <w:jc w:val="both"/>
        <w:rPr>
          <w:color w:val="000000"/>
        </w:rPr>
      </w:pPr>
      <w:r>
        <w:rPr>
          <w:color w:val="000000"/>
        </w:rPr>
        <w:t xml:space="preserve"> Nepriima visų </w:t>
      </w:r>
      <w:r>
        <w:rPr>
          <w:color w:val="FF0000"/>
        </w:rPr>
        <w:t xml:space="preserve">ar dalies prekių </w:t>
      </w:r>
      <w:r>
        <w:rPr>
          <w:color w:val="000000"/>
        </w:rPr>
        <w:t>dėl šių perdavimo–priėmimo metu nustatytų trūkumų/ neatitikimų:</w:t>
      </w:r>
    </w:p>
    <w:p w14:paraId="00000857">
      <w:pPr>
        <w:pBdr>
          <w:top w:val="none" w:color="000000" w:sz="0" w:space="0"/>
          <w:left w:val="none" w:color="000000" w:sz="0" w:space="0"/>
          <w:bottom w:val="none" w:color="000000" w:sz="0" w:space="0"/>
          <w:right w:val="none" w:color="000000" w:sz="0" w:space="0"/>
          <w:between w:val="none" w:color="000000" w:sz="0" w:space="0"/>
        </w:pBdr>
        <w:tabs>
          <w:tab w:val="left" w:pos="993"/>
        </w:tabs>
        <w:jc w:val="both"/>
        <w:rPr>
          <w:color w:val="000000"/>
        </w:rPr>
      </w:pPr>
      <w:r>
        <w:rPr>
          <w:color w:val="00000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00000858">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i/>
          <w:color w:val="000000"/>
        </w:rPr>
      </w:pPr>
      <w:r>
        <w:rPr>
          <w:i/>
          <w:color w:val="000000"/>
        </w:rPr>
        <w:t>(jeigu visi trūkumai netelpa šiame akte, jie pateikiami atskirame dokumente (priede), kuris bus laikomas sudedamoji šio akto dalis)</w:t>
      </w:r>
    </w:p>
    <w:p w14:paraId="00000859">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b/>
          <w:color w:val="000000"/>
        </w:rPr>
      </w:pPr>
    </w:p>
    <w:p w14:paraId="0000085A">
      <w:pPr>
        <w:widowControl w:val="0"/>
        <w:pBdr>
          <w:top w:val="none" w:color="000000" w:sz="0" w:space="0"/>
          <w:left w:val="none" w:color="000000" w:sz="0" w:space="0"/>
          <w:bottom w:val="none" w:color="000000" w:sz="0" w:space="0"/>
          <w:right w:val="none" w:color="000000" w:sz="0" w:space="0"/>
          <w:between w:val="none" w:color="000000" w:sz="0" w:space="0"/>
        </w:pBdr>
        <w:ind w:firstLine="720"/>
        <w:jc w:val="both"/>
        <w:rPr>
          <w:color w:val="000000"/>
        </w:rPr>
      </w:pPr>
      <w:r>
        <w:rPr>
          <w:color w:val="000000"/>
        </w:rPr>
        <w:t xml:space="preserve">Tiekėjas įpareigojamas </w:t>
      </w:r>
      <w:r>
        <w:rPr>
          <w:i/>
          <w:color w:val="000000"/>
        </w:rPr>
        <w:t>iki/per</w:t>
      </w:r>
      <w:r>
        <w:rPr>
          <w:color w:val="000000"/>
        </w:rPr>
        <w:t xml:space="preserve"> _______________________________ darbo dienas pašalinti visus šiame akte ir jo prieduose nurodytus trūkumus/neatitikimus. </w:t>
      </w:r>
    </w:p>
    <w:p w14:paraId="0000085B">
      <w:pPr>
        <w:widowControl w:val="0"/>
        <w:pBdr>
          <w:top w:val="none" w:color="000000" w:sz="0" w:space="0"/>
          <w:left w:val="none" w:color="000000" w:sz="0" w:space="0"/>
          <w:bottom w:val="none" w:color="000000" w:sz="0" w:space="0"/>
          <w:right w:val="none" w:color="000000" w:sz="0" w:space="0"/>
          <w:between w:val="none" w:color="000000" w:sz="0" w:space="0"/>
        </w:pBdr>
        <w:ind w:firstLine="720"/>
        <w:jc w:val="both"/>
        <w:rPr>
          <w:color w:val="000000"/>
        </w:rPr>
      </w:pPr>
    </w:p>
    <w:p w14:paraId="0000085C">
      <w:pPr>
        <w:widowControl w:val="0"/>
        <w:pBdr>
          <w:top w:val="none" w:color="000000" w:sz="0" w:space="0"/>
          <w:left w:val="none" w:color="000000" w:sz="0" w:space="0"/>
          <w:bottom w:val="none" w:color="000000" w:sz="0" w:space="0"/>
          <w:right w:val="none" w:color="000000" w:sz="0" w:space="0"/>
          <w:between w:val="none" w:color="000000" w:sz="0" w:space="0"/>
        </w:pBdr>
        <w:ind w:firstLine="720"/>
        <w:jc w:val="both"/>
        <w:rPr>
          <w:color w:val="000000"/>
        </w:rPr>
      </w:pPr>
      <w:r>
        <w:rPr>
          <w:color w:val="000000"/>
        </w:rPr>
        <w:t xml:space="preserve">Tiekėjas įpareigojamas </w:t>
      </w:r>
      <w:r>
        <w:rPr>
          <w:i/>
          <w:color w:val="000000"/>
        </w:rPr>
        <w:t>iki/per</w:t>
      </w:r>
      <w:r>
        <w:rPr>
          <w:color w:val="000000"/>
        </w:rPr>
        <w:t xml:space="preserve"> __________________________________ savo sąskaita ir priemonėmis atsiimti Sutarties reikalavimų neatitinkančius pirkimo (prekių) objektus.</w:t>
      </w:r>
    </w:p>
    <w:p w14:paraId="0000085D">
      <w:pPr>
        <w:pBdr>
          <w:top w:val="none" w:color="000000" w:sz="0" w:space="0"/>
          <w:left w:val="none" w:color="000000" w:sz="0" w:space="0"/>
          <w:bottom w:val="none" w:color="000000" w:sz="0" w:space="0"/>
          <w:right w:val="none" w:color="000000" w:sz="0" w:space="0"/>
          <w:between w:val="none" w:color="000000" w:sz="0" w:space="0"/>
        </w:pBdr>
        <w:tabs>
          <w:tab w:val="left" w:pos="993"/>
        </w:tabs>
        <w:ind w:firstLine="709"/>
        <w:jc w:val="both"/>
        <w:rPr>
          <w:color w:val="000000"/>
        </w:rPr>
      </w:pPr>
    </w:p>
    <w:p w14:paraId="0000085E">
      <w:pPr>
        <w:widowControl w:val="0"/>
        <w:pBdr>
          <w:top w:val="none" w:color="000000" w:sz="0" w:space="0"/>
          <w:left w:val="none" w:color="000000" w:sz="0" w:space="0"/>
          <w:bottom w:val="none" w:color="000000" w:sz="0" w:space="0"/>
          <w:right w:val="none" w:color="000000" w:sz="0" w:space="0"/>
          <w:between w:val="none" w:color="000000" w:sz="0" w:space="0"/>
        </w:pBdr>
        <w:tabs>
          <w:tab w:val="left" w:pos="993"/>
        </w:tabs>
        <w:ind w:firstLine="720"/>
        <w:jc w:val="both"/>
        <w:rPr>
          <w:color w:val="000000"/>
        </w:rPr>
      </w:pPr>
      <w:r>
        <w:rPr>
          <w:color w:val="000000"/>
        </w:rPr>
        <w:t xml:space="preserve">Iki šio akto pristatytų ir perduotų objektų vertė yra ______________________________ Eur/ mėn. su PVM. </w:t>
      </w:r>
    </w:p>
    <w:p w14:paraId="0000085F">
      <w:pPr>
        <w:widowControl w:val="0"/>
        <w:pBdr>
          <w:top w:val="none" w:color="000000" w:sz="0" w:space="0"/>
          <w:left w:val="none" w:color="000000" w:sz="0" w:space="0"/>
          <w:bottom w:val="none" w:color="000000" w:sz="0" w:space="0"/>
          <w:right w:val="none" w:color="000000" w:sz="0" w:space="0"/>
          <w:between w:val="none" w:color="000000" w:sz="0" w:space="0"/>
        </w:pBdr>
        <w:ind w:firstLine="720"/>
        <w:jc w:val="both"/>
        <w:rPr>
          <w:color w:val="000000"/>
        </w:rPr>
      </w:pPr>
      <w:r>
        <w:rPr>
          <w:color w:val="000000"/>
        </w:rPr>
        <w:t xml:space="preserve">Šis aktas pasirašytas dviem vienodą teisinę galią turinčiais egzemplioriais po vieną kiekvienai Šaliai. </w:t>
      </w:r>
    </w:p>
    <w:tbl>
      <w:tblPr>
        <w:tblStyle w:val="155"/>
        <w:tblW w:w="9781" w:type="dxa"/>
        <w:tblInd w:w="-8" w:type="dxa"/>
        <w:tblLayout w:type="fixed"/>
        <w:tblCellMar>
          <w:top w:w="0" w:type="dxa"/>
          <w:left w:w="10" w:type="dxa"/>
          <w:bottom w:w="0" w:type="dxa"/>
          <w:right w:w="10" w:type="dxa"/>
        </w:tblCellMar>
      </w:tblPr>
      <w:tblGrid>
        <w:gridCol w:w="4962"/>
        <w:gridCol w:w="4819"/>
      </w:tblGrid>
      <w:tr w14:paraId="4A85A0E2">
        <w:tblPrEx>
          <w:tblCellMar>
            <w:top w:w="0" w:type="dxa"/>
            <w:left w:w="10" w:type="dxa"/>
            <w:bottom w:w="0" w:type="dxa"/>
            <w:right w:w="10" w:type="dxa"/>
          </w:tblCellMar>
        </w:tblPrEx>
        <w:trPr>
          <w:trHeight w:val="270" w:hRule="atLeast"/>
        </w:trPr>
        <w:tc>
          <w:tcPr>
            <w:tcW w:w="4962" w:type="dxa"/>
            <w:tcBorders>
              <w:top w:val="single" w:color="000000" w:sz="6" w:space="0"/>
              <w:left w:val="single" w:color="000000" w:sz="6" w:space="0"/>
              <w:right w:val="single" w:color="000000" w:sz="6" w:space="0"/>
            </w:tcBorders>
            <w:tcMar>
              <w:top w:w="0" w:type="dxa"/>
              <w:left w:w="108" w:type="dxa"/>
              <w:bottom w:w="0" w:type="dxa"/>
              <w:right w:w="108" w:type="dxa"/>
            </w:tcMar>
          </w:tcPr>
          <w:p w14:paraId="00000860">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color w:val="000000"/>
              </w:rPr>
            </w:pPr>
            <w:r>
              <w:rPr>
                <w:color w:val="000000"/>
              </w:rPr>
              <w:t>Perdavė:</w:t>
            </w:r>
          </w:p>
        </w:tc>
        <w:tc>
          <w:tcPr>
            <w:tcW w:w="4819" w:type="dxa"/>
            <w:tcBorders>
              <w:top w:val="single" w:color="000000" w:sz="6" w:space="0"/>
              <w:left w:val="single" w:color="000000" w:sz="6" w:space="0"/>
              <w:right w:val="single" w:color="000000" w:sz="6" w:space="0"/>
            </w:tcBorders>
            <w:tcMar>
              <w:top w:w="0" w:type="dxa"/>
              <w:left w:w="108" w:type="dxa"/>
              <w:bottom w:w="0" w:type="dxa"/>
              <w:right w:w="108" w:type="dxa"/>
            </w:tcMar>
          </w:tcPr>
          <w:p w14:paraId="00000861">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color w:val="000000"/>
              </w:rPr>
            </w:pPr>
            <w:r>
              <w:rPr>
                <w:color w:val="000000"/>
              </w:rPr>
              <w:t>Priėmė:</w:t>
            </w:r>
          </w:p>
        </w:tc>
      </w:tr>
      <w:tr w14:paraId="0379D3E6">
        <w:tblPrEx>
          <w:tblCellMar>
            <w:top w:w="0" w:type="dxa"/>
            <w:left w:w="10" w:type="dxa"/>
            <w:bottom w:w="0" w:type="dxa"/>
            <w:right w:w="10" w:type="dxa"/>
          </w:tblCellMar>
        </w:tblPrEx>
        <w:trPr>
          <w:trHeight w:val="81" w:hRule="atLeast"/>
        </w:trPr>
        <w:tc>
          <w:tcPr>
            <w:tcW w:w="4962" w:type="dxa"/>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14:paraId="00000862">
            <w:pPr>
              <w:widowControl w:val="0"/>
              <w:pBdr>
                <w:top w:val="none" w:color="000000" w:sz="0" w:space="0"/>
                <w:left w:val="none" w:color="000000" w:sz="0" w:space="0"/>
                <w:bottom w:val="none" w:color="000000" w:sz="0" w:space="0"/>
                <w:right w:val="none" w:color="000000" w:sz="0" w:space="0"/>
                <w:between w:val="none" w:color="000000" w:sz="0" w:space="0"/>
              </w:pBdr>
              <w:ind w:firstLine="720"/>
              <w:jc w:val="center"/>
              <w:rPr>
                <w:color w:val="000000"/>
              </w:rPr>
            </w:pPr>
            <w:r>
              <w:rPr>
                <w:color w:val="000000"/>
              </w:rPr>
              <w:t>Tiekėjo atstovas</w:t>
            </w:r>
          </w:p>
        </w:tc>
        <w:tc>
          <w:tcPr>
            <w:tcW w:w="4819" w:type="dxa"/>
            <w:tcBorders>
              <w:left w:val="single" w:color="000000" w:sz="6" w:space="0"/>
              <w:bottom w:val="single" w:color="000000" w:sz="6" w:space="0"/>
              <w:right w:val="single" w:color="000000" w:sz="6" w:space="0"/>
            </w:tcBorders>
            <w:tcMar>
              <w:top w:w="0" w:type="dxa"/>
              <w:left w:w="108" w:type="dxa"/>
              <w:bottom w:w="0" w:type="dxa"/>
              <w:right w:w="108" w:type="dxa"/>
            </w:tcMar>
            <w:vAlign w:val="center"/>
          </w:tcPr>
          <w:p w14:paraId="00000863">
            <w:pPr>
              <w:widowControl w:val="0"/>
              <w:pBdr>
                <w:top w:val="none" w:color="000000" w:sz="0" w:space="0"/>
                <w:left w:val="none" w:color="000000" w:sz="0" w:space="0"/>
                <w:bottom w:val="none" w:color="000000" w:sz="0" w:space="0"/>
                <w:right w:val="none" w:color="000000" w:sz="0" w:space="0"/>
                <w:between w:val="none" w:color="000000" w:sz="0" w:space="0"/>
              </w:pBdr>
              <w:ind w:firstLine="34"/>
              <w:jc w:val="center"/>
              <w:rPr>
                <w:color w:val="000000"/>
              </w:rPr>
            </w:pPr>
            <w:r>
              <w:rPr>
                <w:color w:val="000000"/>
              </w:rPr>
              <w:t>Užsakovo atstovas</w:t>
            </w:r>
          </w:p>
        </w:tc>
      </w:tr>
      <w:tr w14:paraId="73C2D134">
        <w:tblPrEx>
          <w:tblCellMar>
            <w:top w:w="0" w:type="dxa"/>
            <w:left w:w="10" w:type="dxa"/>
            <w:bottom w:w="0" w:type="dxa"/>
            <w:right w:w="10" w:type="dxa"/>
          </w:tblCellMar>
        </w:tblPrEx>
        <w:trPr>
          <w:trHeight w:val="285" w:hRule="atLeast"/>
        </w:trPr>
        <w:tc>
          <w:tcPr>
            <w:tcW w:w="4962" w:type="dxa"/>
            <w:tcBorders>
              <w:top w:val="single" w:color="000000" w:sz="6" w:space="0"/>
              <w:left w:val="single" w:color="000000" w:sz="6" w:space="0"/>
              <w:right w:val="single" w:color="000000" w:sz="6" w:space="0"/>
            </w:tcBorders>
            <w:tcMar>
              <w:top w:w="0" w:type="dxa"/>
              <w:left w:w="108" w:type="dxa"/>
              <w:bottom w:w="0" w:type="dxa"/>
              <w:right w:w="108" w:type="dxa"/>
            </w:tcMar>
          </w:tcPr>
          <w:p w14:paraId="00000864">
            <w:pPr>
              <w:widowControl w:val="0"/>
              <w:pBdr>
                <w:top w:val="none" w:color="000000" w:sz="0" w:space="0"/>
                <w:left w:val="none" w:color="000000" w:sz="0" w:space="0"/>
                <w:bottom w:val="none" w:color="000000" w:sz="0" w:space="0"/>
                <w:right w:val="none" w:color="000000" w:sz="0" w:space="0"/>
                <w:between w:val="none" w:color="000000" w:sz="0" w:space="0"/>
              </w:pBdr>
              <w:ind w:firstLine="720"/>
              <w:rPr>
                <w:color w:val="000000"/>
              </w:rPr>
            </w:pPr>
            <w:r>
              <w:rPr>
                <w:color w:val="000000"/>
              </w:rPr>
              <w:t xml:space="preserve">(Data) </w:t>
            </w:r>
          </w:p>
        </w:tc>
        <w:tc>
          <w:tcPr>
            <w:tcW w:w="4819" w:type="dxa"/>
            <w:tcBorders>
              <w:top w:val="single" w:color="000000" w:sz="6" w:space="0"/>
              <w:left w:val="single" w:color="000000" w:sz="6" w:space="0"/>
              <w:right w:val="single" w:color="000000" w:sz="6" w:space="0"/>
            </w:tcBorders>
            <w:tcMar>
              <w:top w:w="0" w:type="dxa"/>
              <w:left w:w="108" w:type="dxa"/>
              <w:bottom w:w="0" w:type="dxa"/>
              <w:right w:w="108" w:type="dxa"/>
            </w:tcMar>
          </w:tcPr>
          <w:p w14:paraId="00000865">
            <w:pPr>
              <w:widowControl w:val="0"/>
              <w:pBdr>
                <w:top w:val="none" w:color="000000" w:sz="0" w:space="0"/>
                <w:left w:val="none" w:color="000000" w:sz="0" w:space="0"/>
                <w:bottom w:val="none" w:color="000000" w:sz="0" w:space="0"/>
                <w:right w:val="none" w:color="000000" w:sz="0" w:space="0"/>
                <w:between w:val="none" w:color="000000" w:sz="0" w:space="0"/>
              </w:pBdr>
              <w:ind w:firstLine="720"/>
              <w:rPr>
                <w:color w:val="000000"/>
              </w:rPr>
            </w:pPr>
            <w:r>
              <w:rPr>
                <w:color w:val="000000"/>
              </w:rPr>
              <w:t>(Data)</w:t>
            </w:r>
          </w:p>
        </w:tc>
      </w:tr>
      <w:tr w14:paraId="13E0B001">
        <w:tblPrEx>
          <w:tblCellMar>
            <w:top w:w="0" w:type="dxa"/>
            <w:left w:w="10" w:type="dxa"/>
            <w:bottom w:w="0" w:type="dxa"/>
            <w:right w:w="10" w:type="dxa"/>
          </w:tblCellMar>
        </w:tblPrEx>
        <w:trPr>
          <w:trHeight w:val="285" w:hRule="atLeast"/>
        </w:trPr>
        <w:tc>
          <w:tcPr>
            <w:tcW w:w="4962" w:type="dxa"/>
            <w:tcBorders>
              <w:left w:val="single" w:color="000000" w:sz="6" w:space="0"/>
              <w:right w:val="single" w:color="000000" w:sz="6" w:space="0"/>
            </w:tcBorders>
            <w:tcMar>
              <w:top w:w="0" w:type="dxa"/>
              <w:left w:w="108" w:type="dxa"/>
              <w:bottom w:w="0" w:type="dxa"/>
              <w:right w:w="108" w:type="dxa"/>
            </w:tcMar>
          </w:tcPr>
          <w:p w14:paraId="00000866">
            <w:pPr>
              <w:widowControl w:val="0"/>
              <w:pBdr>
                <w:top w:val="none" w:color="000000" w:sz="0" w:space="0"/>
                <w:left w:val="none" w:color="000000" w:sz="0" w:space="0"/>
                <w:bottom w:val="none" w:color="000000" w:sz="0" w:space="0"/>
                <w:right w:val="none" w:color="000000" w:sz="0" w:space="0"/>
                <w:between w:val="none" w:color="000000" w:sz="0" w:space="0"/>
              </w:pBdr>
              <w:ind w:firstLine="720"/>
              <w:rPr>
                <w:color w:val="000000"/>
              </w:rPr>
            </w:pPr>
            <w:r>
              <w:rPr>
                <w:color w:val="000000"/>
              </w:rPr>
              <w:t xml:space="preserve">(Parašas) </w:t>
            </w:r>
          </w:p>
        </w:tc>
        <w:tc>
          <w:tcPr>
            <w:tcW w:w="4819" w:type="dxa"/>
            <w:tcBorders>
              <w:left w:val="single" w:color="000000" w:sz="6" w:space="0"/>
              <w:right w:val="single" w:color="000000" w:sz="6" w:space="0"/>
            </w:tcBorders>
            <w:tcMar>
              <w:top w:w="0" w:type="dxa"/>
              <w:left w:w="108" w:type="dxa"/>
              <w:bottom w:w="0" w:type="dxa"/>
              <w:right w:w="108" w:type="dxa"/>
            </w:tcMar>
          </w:tcPr>
          <w:p w14:paraId="00000867">
            <w:pPr>
              <w:widowControl w:val="0"/>
              <w:pBdr>
                <w:top w:val="none" w:color="000000" w:sz="0" w:space="0"/>
                <w:left w:val="none" w:color="000000" w:sz="0" w:space="0"/>
                <w:bottom w:val="none" w:color="000000" w:sz="0" w:space="0"/>
                <w:right w:val="none" w:color="000000" w:sz="0" w:space="0"/>
                <w:between w:val="none" w:color="000000" w:sz="0" w:space="0"/>
              </w:pBdr>
              <w:ind w:firstLine="720"/>
              <w:rPr>
                <w:color w:val="000000"/>
              </w:rPr>
            </w:pPr>
            <w:r>
              <w:rPr>
                <w:color w:val="000000"/>
              </w:rPr>
              <w:t xml:space="preserve">(Parašas) </w:t>
            </w:r>
          </w:p>
        </w:tc>
      </w:tr>
      <w:tr w14:paraId="2DCCD06F">
        <w:tblPrEx>
          <w:tblCellMar>
            <w:top w:w="0" w:type="dxa"/>
            <w:left w:w="10" w:type="dxa"/>
            <w:bottom w:w="0" w:type="dxa"/>
            <w:right w:w="10" w:type="dxa"/>
          </w:tblCellMar>
        </w:tblPrEx>
        <w:trPr>
          <w:trHeight w:val="310" w:hRule="atLeast"/>
        </w:trPr>
        <w:tc>
          <w:tcPr>
            <w:tcW w:w="4962" w:type="dxa"/>
            <w:tcBorders>
              <w:left w:val="single" w:color="000000" w:sz="6" w:space="0"/>
              <w:right w:val="single" w:color="000000" w:sz="6" w:space="0"/>
            </w:tcBorders>
            <w:tcMar>
              <w:top w:w="0" w:type="dxa"/>
              <w:left w:w="108" w:type="dxa"/>
              <w:bottom w:w="0" w:type="dxa"/>
              <w:right w:w="108" w:type="dxa"/>
            </w:tcMar>
          </w:tcPr>
          <w:p w14:paraId="00000868">
            <w:pPr>
              <w:widowControl w:val="0"/>
              <w:pBdr>
                <w:top w:val="none" w:color="000000" w:sz="0" w:space="0"/>
                <w:left w:val="none" w:color="000000" w:sz="0" w:space="0"/>
                <w:bottom w:val="none" w:color="000000" w:sz="0" w:space="0"/>
                <w:right w:val="none" w:color="000000" w:sz="0" w:space="0"/>
                <w:between w:val="none" w:color="000000" w:sz="0" w:space="0"/>
              </w:pBdr>
              <w:ind w:firstLine="720"/>
              <w:rPr>
                <w:color w:val="000000"/>
              </w:rPr>
            </w:pPr>
            <w:r>
              <w:rPr>
                <w:color w:val="000000"/>
              </w:rPr>
              <w:t xml:space="preserve">(Vardas, pavardė) </w:t>
            </w:r>
          </w:p>
        </w:tc>
        <w:tc>
          <w:tcPr>
            <w:tcW w:w="4819" w:type="dxa"/>
            <w:tcBorders>
              <w:left w:val="single" w:color="000000" w:sz="6" w:space="0"/>
              <w:right w:val="single" w:color="000000" w:sz="6" w:space="0"/>
            </w:tcBorders>
            <w:tcMar>
              <w:top w:w="0" w:type="dxa"/>
              <w:left w:w="108" w:type="dxa"/>
              <w:bottom w:w="0" w:type="dxa"/>
              <w:right w:w="108" w:type="dxa"/>
            </w:tcMar>
          </w:tcPr>
          <w:p w14:paraId="00000869">
            <w:pPr>
              <w:widowControl w:val="0"/>
              <w:pBdr>
                <w:top w:val="none" w:color="000000" w:sz="0" w:space="0"/>
                <w:left w:val="none" w:color="000000" w:sz="0" w:space="0"/>
                <w:bottom w:val="none" w:color="000000" w:sz="0" w:space="0"/>
                <w:right w:val="none" w:color="000000" w:sz="0" w:space="0"/>
                <w:between w:val="none" w:color="000000" w:sz="0" w:space="0"/>
              </w:pBdr>
              <w:ind w:firstLine="720"/>
              <w:rPr>
                <w:color w:val="000000"/>
              </w:rPr>
            </w:pPr>
            <w:r>
              <w:rPr>
                <w:color w:val="000000"/>
              </w:rPr>
              <w:t xml:space="preserve">(Vardas, pavardė) </w:t>
            </w:r>
          </w:p>
        </w:tc>
      </w:tr>
      <w:tr w14:paraId="25650366">
        <w:tblPrEx>
          <w:tblCellMar>
            <w:top w:w="0" w:type="dxa"/>
            <w:left w:w="10" w:type="dxa"/>
            <w:bottom w:w="0" w:type="dxa"/>
            <w:right w:w="10" w:type="dxa"/>
          </w:tblCellMar>
        </w:tblPrEx>
        <w:trPr>
          <w:trHeight w:val="310" w:hRule="atLeast"/>
        </w:trPr>
        <w:tc>
          <w:tcPr>
            <w:tcW w:w="4962" w:type="dxa"/>
            <w:tcBorders>
              <w:left w:val="single" w:color="000000" w:sz="6" w:space="0"/>
              <w:bottom w:val="single" w:color="000000" w:sz="6" w:space="0"/>
              <w:right w:val="single" w:color="000000" w:sz="6" w:space="0"/>
            </w:tcBorders>
            <w:tcMar>
              <w:top w:w="0" w:type="dxa"/>
              <w:left w:w="108" w:type="dxa"/>
              <w:bottom w:w="0" w:type="dxa"/>
              <w:right w:w="108" w:type="dxa"/>
            </w:tcMar>
          </w:tcPr>
          <w:p w14:paraId="0000086A">
            <w:pPr>
              <w:widowControl w:val="0"/>
              <w:pBdr>
                <w:top w:val="none" w:color="000000" w:sz="0" w:space="0"/>
                <w:left w:val="none" w:color="000000" w:sz="0" w:space="0"/>
                <w:bottom w:val="none" w:color="000000" w:sz="0" w:space="0"/>
                <w:right w:val="none" w:color="000000" w:sz="0" w:space="0"/>
                <w:between w:val="none" w:color="000000" w:sz="0" w:space="0"/>
              </w:pBdr>
              <w:ind w:firstLine="720"/>
              <w:rPr>
                <w:color w:val="000000"/>
              </w:rPr>
            </w:pPr>
            <w:r>
              <w:rPr>
                <w:color w:val="000000"/>
              </w:rPr>
              <w:t xml:space="preserve">(Pareigos) </w:t>
            </w:r>
          </w:p>
        </w:tc>
        <w:tc>
          <w:tcPr>
            <w:tcW w:w="4819" w:type="dxa"/>
            <w:tcBorders>
              <w:left w:val="single" w:color="000000" w:sz="6" w:space="0"/>
              <w:bottom w:val="single" w:color="000000" w:sz="6" w:space="0"/>
              <w:right w:val="single" w:color="000000" w:sz="6" w:space="0"/>
            </w:tcBorders>
            <w:tcMar>
              <w:top w:w="0" w:type="dxa"/>
              <w:left w:w="108" w:type="dxa"/>
              <w:bottom w:w="0" w:type="dxa"/>
              <w:right w:w="108" w:type="dxa"/>
            </w:tcMar>
          </w:tcPr>
          <w:p w14:paraId="0000086B">
            <w:pPr>
              <w:widowControl w:val="0"/>
              <w:pBdr>
                <w:top w:val="none" w:color="000000" w:sz="0" w:space="0"/>
                <w:left w:val="none" w:color="000000" w:sz="0" w:space="0"/>
                <w:bottom w:val="none" w:color="000000" w:sz="0" w:space="0"/>
                <w:right w:val="none" w:color="000000" w:sz="0" w:space="0"/>
                <w:between w:val="none" w:color="000000" w:sz="0" w:space="0"/>
              </w:pBdr>
              <w:ind w:firstLine="720"/>
              <w:rPr>
                <w:color w:val="000000"/>
              </w:rPr>
            </w:pPr>
            <w:r>
              <w:rPr>
                <w:color w:val="000000"/>
              </w:rPr>
              <w:t xml:space="preserve">(Pareigos) </w:t>
            </w:r>
          </w:p>
        </w:tc>
      </w:tr>
    </w:tbl>
    <w:p w14:paraId="0000086C">
      <w:pPr>
        <w:widowControl w:val="0"/>
        <w:pBdr>
          <w:top w:val="none" w:color="000000" w:sz="0" w:space="0"/>
          <w:left w:val="none" w:color="000000" w:sz="0" w:space="0"/>
          <w:bottom w:val="none" w:color="000000" w:sz="0" w:space="0"/>
          <w:right w:val="none" w:color="000000" w:sz="0" w:space="0"/>
          <w:between w:val="none" w:color="000000" w:sz="0" w:space="0"/>
        </w:pBdr>
        <w:ind w:firstLine="720"/>
        <w:jc w:val="right"/>
        <w:rPr>
          <w:color w:val="000000"/>
        </w:rPr>
      </w:pPr>
    </w:p>
    <w:p w14:paraId="0000086D">
      <w:pPr>
        <w:widowControl w:val="0"/>
        <w:pBdr>
          <w:top w:val="none" w:color="000000" w:sz="0" w:space="0"/>
          <w:left w:val="none" w:color="000000" w:sz="0" w:space="0"/>
          <w:bottom w:val="none" w:color="000000" w:sz="0" w:space="0"/>
          <w:right w:val="none" w:color="000000" w:sz="0" w:space="0"/>
          <w:between w:val="none" w:color="000000" w:sz="0" w:space="0"/>
        </w:pBdr>
        <w:ind w:firstLine="720"/>
        <w:jc w:val="right"/>
        <w:rPr>
          <w:color w:val="000000"/>
        </w:rPr>
      </w:pPr>
    </w:p>
    <w:p w14:paraId="0000086E">
      <w:pPr>
        <w:widowControl w:val="0"/>
        <w:pBdr>
          <w:top w:val="none" w:color="000000" w:sz="0" w:space="0"/>
          <w:left w:val="none" w:color="000000" w:sz="0" w:space="0"/>
          <w:bottom w:val="none" w:color="000000" w:sz="0" w:space="0"/>
          <w:right w:val="none" w:color="000000" w:sz="0" w:space="0"/>
          <w:between w:val="none" w:color="000000" w:sz="0" w:space="0"/>
        </w:pBdr>
        <w:ind w:firstLine="720"/>
        <w:jc w:val="right"/>
        <w:rPr>
          <w:color w:val="000000"/>
        </w:rPr>
      </w:pPr>
    </w:p>
    <w:p w14:paraId="0000086F">
      <w:pPr>
        <w:widowControl w:val="0"/>
        <w:pBdr>
          <w:top w:val="none" w:color="000000" w:sz="0" w:space="0"/>
          <w:left w:val="none" w:color="000000" w:sz="0" w:space="0"/>
          <w:bottom w:val="none" w:color="000000" w:sz="0" w:space="0"/>
          <w:right w:val="none" w:color="000000" w:sz="0" w:space="0"/>
          <w:between w:val="none" w:color="000000" w:sz="0" w:space="0"/>
        </w:pBdr>
        <w:ind w:firstLine="720"/>
        <w:jc w:val="right"/>
        <w:rPr>
          <w:color w:val="000000"/>
        </w:rPr>
      </w:pPr>
    </w:p>
    <w:p w14:paraId="00000870">
      <w:pPr>
        <w:widowControl w:val="0"/>
        <w:pBdr>
          <w:top w:val="none" w:color="000000" w:sz="0" w:space="0"/>
          <w:left w:val="none" w:color="000000" w:sz="0" w:space="0"/>
          <w:bottom w:val="none" w:color="000000" w:sz="0" w:space="0"/>
          <w:right w:val="none" w:color="000000" w:sz="0" w:space="0"/>
          <w:between w:val="none" w:color="000000" w:sz="0" w:space="0"/>
        </w:pBdr>
        <w:ind w:firstLine="720"/>
        <w:jc w:val="right"/>
        <w:rPr>
          <w:color w:val="000000"/>
        </w:rPr>
      </w:pPr>
    </w:p>
    <w:p w14:paraId="00000871">
      <w:pPr>
        <w:widowControl w:val="0"/>
        <w:pBdr>
          <w:top w:val="none" w:color="000000" w:sz="0" w:space="0"/>
          <w:left w:val="none" w:color="000000" w:sz="0" w:space="0"/>
          <w:bottom w:val="none" w:color="000000" w:sz="0" w:space="0"/>
          <w:right w:val="none" w:color="000000" w:sz="0" w:space="0"/>
          <w:between w:val="none" w:color="000000" w:sz="0" w:space="0"/>
        </w:pBdr>
        <w:ind w:firstLine="720"/>
        <w:jc w:val="right"/>
        <w:rPr>
          <w:color w:val="000000"/>
        </w:rPr>
      </w:pPr>
    </w:p>
    <w:p w14:paraId="00000872">
      <w:pPr>
        <w:widowControl w:val="0"/>
        <w:pBdr>
          <w:top w:val="none" w:color="000000" w:sz="0" w:space="0"/>
          <w:left w:val="none" w:color="000000" w:sz="0" w:space="0"/>
          <w:bottom w:val="none" w:color="000000" w:sz="0" w:space="0"/>
          <w:right w:val="none" w:color="000000" w:sz="0" w:space="0"/>
          <w:between w:val="none" w:color="000000" w:sz="0" w:space="0"/>
        </w:pBdr>
        <w:ind w:firstLine="720"/>
        <w:jc w:val="right"/>
        <w:rPr>
          <w:color w:val="000000"/>
        </w:rPr>
      </w:pPr>
    </w:p>
    <w:p w14:paraId="00000873">
      <w:pPr>
        <w:pBdr>
          <w:top w:val="none" w:color="000000" w:sz="0" w:space="0"/>
          <w:left w:val="none" w:color="000000" w:sz="0" w:space="0"/>
          <w:bottom w:val="none" w:color="000000" w:sz="0" w:space="0"/>
          <w:right w:val="none" w:color="000000" w:sz="0" w:space="0"/>
          <w:between w:val="none" w:color="000000" w:sz="0" w:space="0"/>
        </w:pBdr>
        <w:tabs>
          <w:tab w:val="left" w:pos="0"/>
        </w:tabs>
        <w:spacing w:before="120"/>
        <w:ind w:firstLine="180"/>
        <w:jc w:val="center"/>
        <w:rPr>
          <w:b/>
          <w:color w:val="000000"/>
        </w:rPr>
      </w:pPr>
    </w:p>
    <w:p w14:paraId="00000874">
      <w:pPr>
        <w:pBdr>
          <w:top w:val="none" w:color="000000" w:sz="0" w:space="0"/>
          <w:left w:val="none" w:color="000000" w:sz="0" w:space="0"/>
          <w:bottom w:val="none" w:color="000000" w:sz="0" w:space="0"/>
          <w:right w:val="none" w:color="000000" w:sz="0" w:space="0"/>
          <w:between w:val="none" w:color="000000" w:sz="0" w:space="0"/>
        </w:pBdr>
        <w:jc w:val="center"/>
        <w:rPr>
          <w:b/>
          <w:smallCaps/>
          <w:color w:val="000000"/>
        </w:rPr>
      </w:pPr>
    </w:p>
    <w:p w14:paraId="00000875">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876">
      <w:pPr>
        <w:shd w:val="clear" w:color="auto" w:fill="FFFFFF"/>
        <w:ind w:firstLine="720"/>
        <w:jc w:val="both"/>
      </w:pPr>
    </w:p>
    <w:p w14:paraId="00000877">
      <w:pPr>
        <w:pBdr>
          <w:top w:val="none" w:color="000000" w:sz="0" w:space="0"/>
        </w:pBdr>
        <w:ind w:left="227"/>
        <w:jc w:val="both"/>
        <w:rPr>
          <w:color w:val="000000"/>
        </w:rPr>
      </w:pPr>
    </w:p>
    <w:p w14:paraId="00000878">
      <w:pPr>
        <w:pBdr>
          <w:top w:val="none" w:color="000000" w:sz="0" w:space="0"/>
        </w:pBdr>
        <w:ind w:left="227"/>
        <w:jc w:val="both"/>
        <w:rPr>
          <w:color w:val="000000"/>
        </w:rPr>
      </w:pPr>
    </w:p>
    <w:p w14:paraId="00000879">
      <w:pPr>
        <w:pBdr>
          <w:top w:val="none" w:color="000000" w:sz="0" w:space="0"/>
        </w:pBdr>
        <w:ind w:left="227"/>
        <w:jc w:val="both"/>
        <w:rPr>
          <w:color w:val="000000"/>
        </w:rPr>
      </w:pPr>
    </w:p>
    <w:p w14:paraId="0000087A">
      <w:pPr>
        <w:pBdr>
          <w:top w:val="none" w:color="000000" w:sz="0" w:space="0"/>
        </w:pBdr>
        <w:ind w:left="227"/>
        <w:jc w:val="both"/>
        <w:rPr>
          <w:color w:val="000000"/>
        </w:rPr>
      </w:pPr>
    </w:p>
    <w:p w14:paraId="0000087B">
      <w:pPr>
        <w:pBdr>
          <w:top w:val="none" w:color="000000" w:sz="0" w:space="0"/>
        </w:pBdr>
        <w:ind w:left="227"/>
        <w:jc w:val="both"/>
        <w:rPr>
          <w:color w:val="000000"/>
        </w:rPr>
      </w:pPr>
    </w:p>
    <w:p w14:paraId="0000087C">
      <w:pPr>
        <w:pBdr>
          <w:top w:val="none" w:color="000000" w:sz="0" w:space="0"/>
        </w:pBdr>
        <w:ind w:left="227"/>
        <w:jc w:val="both"/>
        <w:rPr>
          <w:color w:val="000000"/>
        </w:rPr>
      </w:pPr>
    </w:p>
    <w:p w14:paraId="0000087D">
      <w:pPr>
        <w:pBdr>
          <w:top w:val="none" w:color="000000" w:sz="0" w:space="0"/>
        </w:pBdr>
        <w:ind w:left="227"/>
        <w:jc w:val="both"/>
        <w:rPr>
          <w:color w:val="000000"/>
        </w:rPr>
      </w:pPr>
    </w:p>
    <w:p w14:paraId="0000087E">
      <w:pPr>
        <w:pBdr>
          <w:top w:val="none" w:color="000000" w:sz="0" w:space="0"/>
        </w:pBdr>
        <w:ind w:left="227"/>
        <w:jc w:val="both"/>
        <w:rPr>
          <w:color w:val="000000"/>
        </w:rPr>
      </w:pPr>
    </w:p>
    <w:p w14:paraId="0000087F">
      <w:pPr>
        <w:pBdr>
          <w:top w:val="none" w:color="000000" w:sz="0" w:space="0"/>
        </w:pBdr>
        <w:ind w:left="227"/>
        <w:jc w:val="both"/>
        <w:rPr>
          <w:color w:val="000000"/>
        </w:rPr>
      </w:pPr>
    </w:p>
    <w:p w14:paraId="00000880">
      <w:pPr>
        <w:pBdr>
          <w:top w:val="none" w:color="000000" w:sz="0" w:space="0"/>
        </w:pBdr>
        <w:ind w:left="227"/>
        <w:jc w:val="both"/>
        <w:rPr>
          <w:color w:val="000000"/>
        </w:rPr>
      </w:pPr>
    </w:p>
    <w:p w14:paraId="00000881">
      <w:pPr>
        <w:pBdr>
          <w:top w:val="none" w:color="000000" w:sz="0" w:space="0"/>
        </w:pBdr>
        <w:ind w:left="227"/>
        <w:jc w:val="both"/>
        <w:rPr>
          <w:color w:val="000000"/>
        </w:rPr>
      </w:pPr>
    </w:p>
    <w:p w14:paraId="00000882">
      <w:pPr>
        <w:pBdr>
          <w:top w:val="none" w:color="000000" w:sz="0" w:space="0"/>
        </w:pBdr>
        <w:ind w:left="227"/>
        <w:jc w:val="both"/>
        <w:rPr>
          <w:color w:val="000000"/>
        </w:rPr>
      </w:pPr>
    </w:p>
    <w:p w14:paraId="00000883">
      <w:pPr>
        <w:pBdr>
          <w:top w:val="none" w:color="000000" w:sz="0" w:space="0"/>
        </w:pBdr>
        <w:ind w:left="227"/>
        <w:jc w:val="both"/>
        <w:rPr>
          <w:color w:val="000000"/>
        </w:rPr>
      </w:pPr>
    </w:p>
    <w:p w14:paraId="00000884">
      <w:pPr>
        <w:pBdr>
          <w:top w:val="none" w:color="000000" w:sz="0" w:space="0"/>
        </w:pBdr>
        <w:ind w:left="227"/>
        <w:jc w:val="both"/>
        <w:rPr>
          <w:color w:val="000000"/>
        </w:rPr>
      </w:pPr>
    </w:p>
    <w:p w14:paraId="00000885">
      <w:pPr>
        <w:pBdr>
          <w:top w:val="none" w:color="000000" w:sz="0" w:space="0"/>
        </w:pBdr>
        <w:ind w:left="227"/>
        <w:jc w:val="both"/>
        <w:rPr>
          <w:color w:val="000000"/>
        </w:rPr>
      </w:pPr>
    </w:p>
    <w:p w14:paraId="00000886">
      <w:pPr>
        <w:pBdr>
          <w:top w:val="none" w:color="000000" w:sz="0" w:space="0"/>
        </w:pBdr>
        <w:ind w:left="227"/>
        <w:jc w:val="both"/>
        <w:rPr>
          <w:color w:val="000000"/>
        </w:rPr>
      </w:pPr>
    </w:p>
    <w:p w14:paraId="00000887">
      <w:pPr>
        <w:pBdr>
          <w:top w:val="none" w:color="000000" w:sz="0" w:space="0"/>
        </w:pBdr>
        <w:ind w:left="227"/>
        <w:jc w:val="both"/>
        <w:rPr>
          <w:color w:val="000000"/>
        </w:rPr>
      </w:pPr>
    </w:p>
    <w:p w14:paraId="00000888">
      <w:pPr>
        <w:pBdr>
          <w:top w:val="none" w:color="000000" w:sz="0" w:space="0"/>
        </w:pBdr>
        <w:jc w:val="both"/>
        <w:rPr>
          <w:color w:val="000000"/>
        </w:rPr>
      </w:pPr>
    </w:p>
    <w:p w14:paraId="00000889">
      <w:pPr>
        <w:pBdr>
          <w:top w:val="none" w:color="000000" w:sz="0" w:space="0"/>
        </w:pBdr>
        <w:jc w:val="both"/>
        <w:rPr>
          <w:color w:val="000000"/>
        </w:rPr>
      </w:pPr>
    </w:p>
    <w:p w14:paraId="0000088A">
      <w:pPr>
        <w:pBdr>
          <w:top w:val="none" w:color="000000" w:sz="0" w:space="0"/>
        </w:pBdr>
        <w:jc w:val="both"/>
        <w:rPr>
          <w:color w:val="000000"/>
        </w:rPr>
      </w:pPr>
    </w:p>
    <w:p w14:paraId="0000088B">
      <w:pPr>
        <w:pBdr>
          <w:top w:val="none" w:color="000000" w:sz="0" w:space="0"/>
        </w:pBdr>
        <w:jc w:val="both"/>
        <w:rPr>
          <w:color w:val="000000"/>
        </w:rPr>
      </w:pPr>
    </w:p>
    <w:p w14:paraId="0000088C">
      <w:pPr>
        <w:pBdr>
          <w:top w:val="none" w:color="000000" w:sz="0" w:space="0"/>
        </w:pBdr>
        <w:jc w:val="both"/>
        <w:rPr>
          <w:color w:val="000000"/>
        </w:rPr>
      </w:pPr>
    </w:p>
    <w:p w14:paraId="0000088D">
      <w:pPr>
        <w:pBdr>
          <w:top w:val="none" w:color="000000" w:sz="0" w:space="0"/>
        </w:pBdr>
        <w:jc w:val="both"/>
        <w:rPr>
          <w:color w:val="000000"/>
        </w:rPr>
      </w:pPr>
    </w:p>
    <w:p w14:paraId="0000088E">
      <w:pPr>
        <w:pBdr>
          <w:top w:val="none" w:color="000000" w:sz="0" w:space="0"/>
        </w:pBdr>
        <w:jc w:val="both"/>
        <w:rPr>
          <w:color w:val="000000"/>
        </w:rPr>
      </w:pPr>
    </w:p>
    <w:p w14:paraId="0000088F">
      <w:pPr>
        <w:pBdr>
          <w:top w:val="none" w:color="000000" w:sz="0" w:space="0"/>
        </w:pBdr>
        <w:jc w:val="both"/>
        <w:rPr>
          <w:color w:val="000000"/>
        </w:rPr>
      </w:pPr>
    </w:p>
    <w:p w14:paraId="00000890">
      <w:pPr>
        <w:pBdr>
          <w:top w:val="none" w:color="000000" w:sz="0" w:space="0"/>
        </w:pBdr>
        <w:jc w:val="both"/>
        <w:rPr>
          <w:color w:val="000000"/>
        </w:rPr>
      </w:pPr>
    </w:p>
    <w:p w14:paraId="00000891">
      <w:pPr>
        <w:pBdr>
          <w:top w:val="none" w:color="000000" w:sz="0" w:space="0"/>
        </w:pBdr>
        <w:jc w:val="both"/>
        <w:rPr>
          <w:color w:val="000000"/>
        </w:rPr>
      </w:pPr>
    </w:p>
    <w:p w14:paraId="00000892">
      <w:pPr>
        <w:pBdr>
          <w:top w:val="none" w:color="000000" w:sz="0" w:space="0"/>
        </w:pBdr>
        <w:jc w:val="both"/>
        <w:rPr>
          <w:color w:val="000000"/>
        </w:rPr>
      </w:pPr>
    </w:p>
    <w:p w14:paraId="2267B274">
      <w:pPr>
        <w:pBdr>
          <w:top w:val="none" w:color="000000" w:sz="0" w:space="0"/>
        </w:pBdr>
        <w:jc w:val="both"/>
        <w:rPr>
          <w:color w:val="000000"/>
        </w:rPr>
      </w:pPr>
    </w:p>
    <w:p w14:paraId="00000896">
      <w:pPr>
        <w:pBdr>
          <w:top w:val="none" w:color="000000" w:sz="0" w:space="0"/>
        </w:pBdr>
        <w:jc w:val="both"/>
        <w:rPr>
          <w:color w:val="000000"/>
        </w:rPr>
      </w:pPr>
    </w:p>
    <w:p w14:paraId="00000897">
      <w:pPr>
        <w:pBdr>
          <w:top w:val="none" w:color="000000" w:sz="0" w:space="0"/>
        </w:pBdr>
        <w:jc w:val="both"/>
        <w:rPr>
          <w:color w:val="000000"/>
        </w:rPr>
      </w:pPr>
    </w:p>
    <w:p w14:paraId="00000898">
      <w:pPr>
        <w:pBdr>
          <w:top w:val="none" w:color="000000" w:sz="0" w:space="0"/>
        </w:pBdr>
        <w:jc w:val="both"/>
        <w:rPr>
          <w:color w:val="000000"/>
        </w:rPr>
      </w:pPr>
    </w:p>
    <w:p w14:paraId="00000899">
      <w:pPr>
        <w:pBdr>
          <w:top w:val="none" w:color="000000" w:sz="0" w:space="0"/>
          <w:left w:val="none" w:color="000000" w:sz="0" w:space="0"/>
          <w:bottom w:val="none" w:color="000000" w:sz="0" w:space="0"/>
          <w:right w:val="none" w:color="000000" w:sz="0" w:space="0"/>
          <w:between w:val="none" w:color="000000" w:sz="0" w:space="0"/>
        </w:pBdr>
        <w:jc w:val="right"/>
        <w:rPr>
          <w:color w:val="000000"/>
        </w:rPr>
      </w:pPr>
      <w:r>
        <w:rPr>
          <w:color w:val="000000"/>
        </w:rPr>
        <w:t xml:space="preserve">Pirkimo sąlygų 11 priedas </w:t>
      </w:r>
    </w:p>
    <w:p w14:paraId="0000089A">
      <w:pPr>
        <w:pStyle w:val="3"/>
        <w:spacing w:before="160" w:after="80" w:line="259" w:lineRule="auto"/>
        <w:ind w:left="5940" w:hanging="360"/>
        <w:jc w:val="right"/>
        <w:rPr>
          <w:rFonts w:ascii="Play" w:hAnsi="Play" w:eastAsia="Play" w:cs="Play"/>
          <w:b w:val="0"/>
          <w:color w:val="0F4761"/>
          <w:sz w:val="20"/>
          <w:szCs w:val="20"/>
        </w:rPr>
      </w:pPr>
      <w:bookmarkStart w:id="31" w:name="_heading=h.lxzsx1nu8594" w:colFirst="0" w:colLast="0"/>
      <w:bookmarkEnd w:id="31"/>
      <w:r>
        <w:rPr>
          <w:b w:val="0"/>
        </w:rPr>
        <w:t>Deklaracija dėl sutikimo būti subtiekėju</w:t>
      </w:r>
    </w:p>
    <w:p w14:paraId="0000089B">
      <w:pPr>
        <w:spacing w:after="160" w:line="259" w:lineRule="auto"/>
        <w:jc w:val="center"/>
        <w:rPr>
          <w:sz w:val="20"/>
          <w:szCs w:val="20"/>
        </w:rPr>
      </w:pPr>
      <w:r>
        <w:rPr>
          <w:sz w:val="20"/>
          <w:szCs w:val="20"/>
        </w:rPr>
        <w:t>Herbas arba prekių ženklas</w:t>
      </w:r>
    </w:p>
    <w:p w14:paraId="0000089C">
      <w:pPr>
        <w:ind w:right="-178"/>
        <w:jc w:val="center"/>
        <w:rPr>
          <w:sz w:val="20"/>
          <w:szCs w:val="20"/>
        </w:rPr>
      </w:pPr>
      <w:r>
        <w:rPr>
          <w:sz w:val="20"/>
          <w:szCs w:val="20"/>
        </w:rPr>
        <w:t>(Tiekėjo pavadinimas)</w:t>
      </w:r>
    </w:p>
    <w:p w14:paraId="0000089D">
      <w:pPr>
        <w:ind w:right="-178"/>
        <w:jc w:val="center"/>
        <w:rPr>
          <w:sz w:val="20"/>
          <w:szCs w:val="20"/>
        </w:rPr>
      </w:pPr>
    </w:p>
    <w:p w14:paraId="0000089E">
      <w:pPr>
        <w:ind w:right="-178"/>
        <w:jc w:val="center"/>
        <w:rPr>
          <w:sz w:val="20"/>
          <w:szCs w:val="20"/>
        </w:rPr>
      </w:pPr>
      <w:r>
        <w:rPr>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0000089F">
      <w:pPr>
        <w:ind w:left="142"/>
        <w:jc w:val="both"/>
      </w:pPr>
    </w:p>
    <w:p w14:paraId="000008A0">
      <w:pPr>
        <w:ind w:left="142"/>
        <w:jc w:val="both"/>
      </w:pPr>
    </w:p>
    <w:p w14:paraId="000008A1">
      <w:pPr>
        <w:ind w:left="142"/>
        <w:jc w:val="both"/>
      </w:pPr>
    </w:p>
    <w:p w14:paraId="000008A2">
      <w:pPr>
        <w:widowControl w:val="0"/>
        <w:jc w:val="right"/>
        <w:rPr>
          <w:sz w:val="20"/>
          <w:szCs w:val="20"/>
        </w:rPr>
      </w:pPr>
    </w:p>
    <w:p w14:paraId="000008A3">
      <w:pPr>
        <w:widowControl w:val="0"/>
        <w:jc w:val="center"/>
      </w:pPr>
      <w:r>
        <w:rPr>
          <w:b/>
        </w:rPr>
        <w:t xml:space="preserve">DEKLARACIJA </w:t>
      </w:r>
    </w:p>
    <w:p w14:paraId="000008A4">
      <w:pPr>
        <w:widowControl w:val="0"/>
        <w:jc w:val="center"/>
      </w:pPr>
      <w:r>
        <w:rPr>
          <w:b/>
        </w:rPr>
        <w:t>DĖL SUTIKIMO BŪTI SUBTIEKĖJU</w:t>
      </w:r>
    </w:p>
    <w:p w14:paraId="000008A5">
      <w:pPr>
        <w:widowControl w:val="0"/>
        <w:jc w:val="center"/>
      </w:pPr>
    </w:p>
    <w:p w14:paraId="000008A6">
      <w:pPr>
        <w:jc w:val="center"/>
      </w:pPr>
      <w:r>
        <w:t>_____________</w:t>
      </w:r>
    </w:p>
    <w:p w14:paraId="000008A7">
      <w:pPr>
        <w:jc w:val="center"/>
        <w:rPr>
          <w:sz w:val="20"/>
          <w:szCs w:val="20"/>
        </w:rPr>
      </w:pPr>
      <w:r>
        <w:rPr>
          <w:sz w:val="20"/>
          <w:szCs w:val="20"/>
        </w:rPr>
        <w:t>(Data)</w:t>
      </w:r>
    </w:p>
    <w:p w14:paraId="000008A8">
      <w:pPr>
        <w:widowControl w:val="0"/>
        <w:jc w:val="center"/>
      </w:pPr>
    </w:p>
    <w:p w14:paraId="000008A9">
      <w:pPr>
        <w:widowControl w:val="0"/>
        <w:jc w:val="center"/>
      </w:pPr>
    </w:p>
    <w:p w14:paraId="000008AA">
      <w:pPr>
        <w:widowControl w:val="0"/>
        <w:jc w:val="center"/>
      </w:pPr>
    </w:p>
    <w:p w14:paraId="000008AB">
      <w:pPr>
        <w:widowControl w:val="0"/>
        <w:ind w:firstLine="567"/>
        <w:jc w:val="both"/>
      </w:pPr>
      <w:r>
        <w:t>_____________________ (subtiekėjo pavadinimas), dalyvaujantis kaip tiekėjo _____________________ (tiekėjo pavadinimas) subtiekėjas __________________ vykdomame _____________________ (pirkimo pavadinimas) pirkime, paskelbtame esinvesticijos.lt, sutinka būti subtiekėju ir pasižada kartu su tiekėju vykdyti sutartį bei būti prieinamu sutarties vykdymo metu.</w:t>
      </w:r>
    </w:p>
    <w:p w14:paraId="000008AC">
      <w:pPr>
        <w:widowControl w:val="0"/>
        <w:ind w:left="644"/>
        <w:jc w:val="both"/>
      </w:pPr>
    </w:p>
    <w:p w14:paraId="000008AD">
      <w:pPr>
        <w:widowControl w:val="0"/>
        <w:ind w:left="644"/>
        <w:jc w:val="both"/>
      </w:pPr>
    </w:p>
    <w:tbl>
      <w:tblPr>
        <w:tblStyle w:val="156"/>
        <w:tblpPr w:leftFromText="180" w:rightFromText="180" w:vertAnchor="text"/>
        <w:tblW w:w="9226" w:type="dxa"/>
        <w:tblInd w:w="0" w:type="dxa"/>
        <w:tblLayout w:type="fixed"/>
        <w:tblCellMar>
          <w:top w:w="0" w:type="dxa"/>
          <w:left w:w="115" w:type="dxa"/>
          <w:bottom w:w="0" w:type="dxa"/>
          <w:right w:w="115" w:type="dxa"/>
        </w:tblCellMar>
      </w:tblPr>
      <w:tblGrid>
        <w:gridCol w:w="3083"/>
        <w:gridCol w:w="567"/>
        <w:gridCol w:w="1859"/>
        <w:gridCol w:w="658"/>
        <w:gridCol w:w="2451"/>
        <w:gridCol w:w="608"/>
      </w:tblGrid>
      <w:tr w14:paraId="2F402810">
        <w:tblPrEx>
          <w:tblCellMar>
            <w:top w:w="0" w:type="dxa"/>
            <w:left w:w="115" w:type="dxa"/>
            <w:bottom w:w="0" w:type="dxa"/>
            <w:right w:w="115" w:type="dxa"/>
          </w:tblCellMar>
        </w:tblPrEx>
        <w:trPr>
          <w:trHeight w:val="302" w:hRule="atLeast"/>
        </w:trPr>
        <w:tc>
          <w:tcPr>
            <w:tcW w:w="3083" w:type="dxa"/>
            <w:tcBorders>
              <w:top w:val="nil"/>
              <w:left w:val="nil"/>
              <w:bottom w:val="single" w:color="000000" w:sz="4" w:space="0"/>
              <w:right w:val="nil"/>
            </w:tcBorders>
          </w:tcPr>
          <w:p w14:paraId="000008AE"/>
          <w:p w14:paraId="000008AF"/>
          <w:p w14:paraId="000008B0"/>
        </w:tc>
        <w:tc>
          <w:tcPr>
            <w:tcW w:w="567" w:type="dxa"/>
          </w:tcPr>
          <w:p w14:paraId="000008B1">
            <w:pPr>
              <w:jc w:val="center"/>
            </w:pPr>
          </w:p>
        </w:tc>
        <w:tc>
          <w:tcPr>
            <w:tcW w:w="1859" w:type="dxa"/>
            <w:tcBorders>
              <w:top w:val="nil"/>
              <w:left w:val="nil"/>
              <w:bottom w:val="single" w:color="000000" w:sz="4" w:space="0"/>
              <w:right w:val="nil"/>
            </w:tcBorders>
          </w:tcPr>
          <w:p w14:paraId="000008B2">
            <w:pPr>
              <w:jc w:val="center"/>
            </w:pPr>
          </w:p>
        </w:tc>
        <w:tc>
          <w:tcPr>
            <w:tcW w:w="658" w:type="dxa"/>
          </w:tcPr>
          <w:p w14:paraId="000008B3">
            <w:pPr>
              <w:jc w:val="center"/>
            </w:pPr>
          </w:p>
        </w:tc>
        <w:tc>
          <w:tcPr>
            <w:tcW w:w="2451" w:type="dxa"/>
            <w:tcBorders>
              <w:top w:val="nil"/>
              <w:left w:val="nil"/>
              <w:bottom w:val="single" w:color="000000" w:sz="4" w:space="0"/>
              <w:right w:val="nil"/>
            </w:tcBorders>
          </w:tcPr>
          <w:p w14:paraId="000008B4">
            <w:pPr>
              <w:jc w:val="right"/>
            </w:pPr>
          </w:p>
          <w:p w14:paraId="000008B5"/>
          <w:p w14:paraId="000008B6"/>
          <w:p w14:paraId="000008B7"/>
          <w:p w14:paraId="000008B8"/>
        </w:tc>
        <w:tc>
          <w:tcPr>
            <w:tcW w:w="608" w:type="dxa"/>
          </w:tcPr>
          <w:p w14:paraId="000008B9">
            <w:pPr>
              <w:jc w:val="right"/>
            </w:pPr>
          </w:p>
        </w:tc>
      </w:tr>
      <w:tr w14:paraId="4B4DB6A4">
        <w:tblPrEx>
          <w:tblCellMar>
            <w:top w:w="0" w:type="dxa"/>
            <w:left w:w="115" w:type="dxa"/>
            <w:bottom w:w="0" w:type="dxa"/>
            <w:right w:w="115" w:type="dxa"/>
          </w:tblCellMar>
        </w:tblPrEx>
        <w:trPr>
          <w:trHeight w:val="197" w:hRule="atLeast"/>
        </w:trPr>
        <w:tc>
          <w:tcPr>
            <w:tcW w:w="3083" w:type="dxa"/>
            <w:tcBorders>
              <w:top w:val="single" w:color="000000" w:sz="4" w:space="0"/>
              <w:left w:val="nil"/>
              <w:bottom w:val="nil"/>
              <w:right w:val="nil"/>
            </w:tcBorders>
          </w:tcPr>
          <w:p w14:paraId="000008BA">
            <w:pPr>
              <w:jc w:val="center"/>
              <w:rPr>
                <w:sz w:val="20"/>
                <w:szCs w:val="20"/>
              </w:rPr>
            </w:pPr>
            <w:r>
              <w:rPr>
                <w:sz w:val="20"/>
                <w:szCs w:val="20"/>
              </w:rPr>
              <w:t>(Subtiekėjo arba jo įgalioto asmens pareigų pavadinimas)</w:t>
            </w:r>
          </w:p>
        </w:tc>
        <w:tc>
          <w:tcPr>
            <w:tcW w:w="567" w:type="dxa"/>
          </w:tcPr>
          <w:p w14:paraId="000008BB">
            <w:pPr>
              <w:jc w:val="center"/>
              <w:rPr>
                <w:sz w:val="20"/>
                <w:szCs w:val="20"/>
              </w:rPr>
            </w:pPr>
          </w:p>
        </w:tc>
        <w:tc>
          <w:tcPr>
            <w:tcW w:w="1859" w:type="dxa"/>
            <w:tcBorders>
              <w:top w:val="single" w:color="000000" w:sz="4" w:space="0"/>
              <w:left w:val="nil"/>
              <w:bottom w:val="nil"/>
              <w:right w:val="nil"/>
            </w:tcBorders>
          </w:tcPr>
          <w:p w14:paraId="000008BC">
            <w:pPr>
              <w:jc w:val="center"/>
              <w:rPr>
                <w:sz w:val="20"/>
                <w:szCs w:val="20"/>
              </w:rPr>
            </w:pPr>
            <w:r>
              <w:rPr>
                <w:sz w:val="20"/>
                <w:szCs w:val="20"/>
              </w:rPr>
              <w:t>(Parašas)</w:t>
            </w:r>
          </w:p>
        </w:tc>
        <w:tc>
          <w:tcPr>
            <w:tcW w:w="658" w:type="dxa"/>
          </w:tcPr>
          <w:p w14:paraId="000008BD">
            <w:pPr>
              <w:jc w:val="center"/>
              <w:rPr>
                <w:sz w:val="20"/>
                <w:szCs w:val="20"/>
              </w:rPr>
            </w:pPr>
          </w:p>
        </w:tc>
        <w:tc>
          <w:tcPr>
            <w:tcW w:w="2451" w:type="dxa"/>
            <w:tcBorders>
              <w:top w:val="single" w:color="000000" w:sz="4" w:space="0"/>
              <w:left w:val="nil"/>
              <w:bottom w:val="nil"/>
              <w:right w:val="nil"/>
            </w:tcBorders>
          </w:tcPr>
          <w:p w14:paraId="000008BE">
            <w:pPr>
              <w:jc w:val="center"/>
              <w:rPr>
                <w:sz w:val="20"/>
                <w:szCs w:val="20"/>
              </w:rPr>
            </w:pPr>
            <w:r>
              <w:rPr>
                <w:sz w:val="20"/>
                <w:szCs w:val="20"/>
              </w:rPr>
              <w:t>(Vardas ir pavardė)</w:t>
            </w:r>
          </w:p>
        </w:tc>
        <w:tc>
          <w:tcPr>
            <w:tcW w:w="608" w:type="dxa"/>
          </w:tcPr>
          <w:p w14:paraId="000008BF">
            <w:pPr>
              <w:jc w:val="center"/>
            </w:pPr>
          </w:p>
        </w:tc>
      </w:tr>
    </w:tbl>
    <w:p w14:paraId="000008C0">
      <w:pPr>
        <w:ind w:firstLine="180"/>
        <w:jc w:val="center"/>
      </w:pPr>
    </w:p>
    <w:p w14:paraId="000008C1">
      <w:pPr>
        <w:spacing w:after="160" w:line="259" w:lineRule="auto"/>
        <w:rPr>
          <w:i/>
        </w:rPr>
      </w:pPr>
    </w:p>
    <w:p w14:paraId="000008C2"/>
    <w:p w14:paraId="000008C3">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8C4">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8C5">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8C6">
      <w:pPr>
        <w:pBdr>
          <w:top w:val="none" w:color="000000" w:sz="0" w:space="0"/>
          <w:left w:val="none" w:color="000000" w:sz="0" w:space="0"/>
          <w:bottom w:val="none" w:color="000000" w:sz="0" w:space="0"/>
          <w:right w:val="none" w:color="000000" w:sz="0" w:space="0"/>
          <w:between w:val="none" w:color="000000" w:sz="0" w:space="0"/>
        </w:pBdr>
        <w:rPr>
          <w:color w:val="000000"/>
        </w:rPr>
      </w:pPr>
    </w:p>
    <w:p w14:paraId="000008C7">
      <w:pPr>
        <w:pBdr>
          <w:top w:val="none" w:color="000000" w:sz="0" w:space="0"/>
        </w:pBdr>
        <w:jc w:val="both"/>
        <w:rPr>
          <w:color w:val="000000"/>
        </w:rPr>
      </w:pPr>
    </w:p>
    <w:p w14:paraId="000008C8">
      <w:pPr>
        <w:pBdr>
          <w:top w:val="none" w:color="000000" w:sz="0" w:space="0"/>
        </w:pBdr>
        <w:jc w:val="both"/>
        <w:rPr>
          <w:color w:val="000000"/>
        </w:rPr>
      </w:pPr>
    </w:p>
    <w:p w14:paraId="000008C9">
      <w:pPr>
        <w:pBdr>
          <w:top w:val="none" w:color="000000" w:sz="0" w:space="0"/>
        </w:pBdr>
        <w:jc w:val="both"/>
        <w:rPr>
          <w:color w:val="000000"/>
        </w:rPr>
      </w:pPr>
    </w:p>
    <w:sectPr>
      <w:footerReference r:id="rId17" w:type="default"/>
      <w:pgSz w:w="11906" w:h="16838"/>
      <w:pgMar w:top="993" w:right="1200" w:bottom="1440" w:left="12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31855E65-85B8-457E-A132-3F6540944D4A}"/>
  </w:font>
  <w:font w:name="Arial">
    <w:panose1 w:val="020B0604020202020204"/>
    <w:charset w:val="00"/>
    <w:family w:val="swiss"/>
    <w:pitch w:val="default"/>
    <w:sig w:usb0="E0002EFF" w:usb1="C000785B" w:usb2="00000009" w:usb3="00000000" w:csb0="400001FF" w:csb1="FFFF0000"/>
    <w:embedRegular r:id="rId2" w:fontKey="{9AA1B72D-2A98-4F69-90CA-959931DC1724}"/>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3" w:fontKey="{F9388F37-1A41-437D-AE7A-0E39041A5058}"/>
  </w:font>
  <w:font w:name="Wingdings">
    <w:panose1 w:val="05000000000000000000"/>
    <w:charset w:val="02"/>
    <w:family w:val="auto"/>
    <w:pitch w:val="default"/>
    <w:sig w:usb0="00000000" w:usb1="00000000" w:usb2="00000000" w:usb3="00000000" w:csb0="80000000" w:csb1="00000000"/>
    <w:embedRegular r:id="rId4" w:fontKey="{1FAD6E57-1BAB-4117-92C0-4AA708F0FD77}"/>
  </w:font>
  <w:font w:name="Calibri">
    <w:panose1 w:val="020F0502020204030204"/>
    <w:charset w:val="00"/>
    <w:family w:val="swiss"/>
    <w:pitch w:val="default"/>
    <w:sig w:usb0="E4002EFF" w:usb1="C200247B" w:usb2="00000009" w:usb3="00000000" w:csb0="200001FF" w:csb1="00000000"/>
    <w:embedRegular r:id="rId5" w:fontKey="{B031AA61-ED56-463D-A14D-BE088296B4FF}"/>
  </w:font>
  <w:font w:name="等线">
    <w:altName w:val="Microsoft YaHei"/>
    <w:panose1 w:val="00000000000000000000"/>
    <w:charset w:val="86"/>
    <w:family w:val="auto"/>
    <w:pitch w:val="default"/>
    <w:sig w:usb0="00000000" w:usb1="00000000" w:usb2="00000000" w:usb3="00000000" w:csb0="00000000" w:csb1="00000000"/>
  </w:font>
  <w:font w:name="Segoe UI">
    <w:panose1 w:val="020B0502040204020203"/>
    <w:charset w:val="BA"/>
    <w:family w:val="swiss"/>
    <w:pitch w:val="default"/>
    <w:sig w:usb0="E4002EFF" w:usb1="C000E47F" w:usb2="00000009" w:usb3="00000000" w:csb0="200001FF" w:csb1="00000000"/>
    <w:embedRegular r:id="rId6" w:fontKey="{7DF8D739-1229-47F9-B80A-AC7595C1A900}"/>
  </w:font>
  <w:font w:name="Georgia">
    <w:panose1 w:val="02040502050405020303"/>
    <w:charset w:val="BA"/>
    <w:family w:val="roman"/>
    <w:pitch w:val="default"/>
    <w:sig w:usb0="00000287" w:usb1="00000000" w:usb2="00000000" w:usb3="00000000" w:csb0="2000009F" w:csb1="00000000"/>
    <w:embedRegular r:id="rId7" w:fontKey="{65F5E900-4EFC-4601-9A0E-4DA152294B0E}"/>
  </w:font>
  <w:font w:name="Helvetica Neue Light">
    <w:altName w:val="Times New Roman"/>
    <w:panose1 w:val="00000000000000000000"/>
    <w:charset w:val="00"/>
    <w:family w:val="auto"/>
    <w:pitch w:val="default"/>
    <w:sig w:usb0="00000000" w:usb1="00000000" w:usb2="00000000" w:usb3="00000000" w:csb0="00000000" w:csb1="00000000"/>
  </w:font>
  <w:font w:name="Helvetica Neue Medium">
    <w:altName w:val="Times New Roman"/>
    <w:panose1 w:val="00000000000000000000"/>
    <w:charset w:val="BA"/>
    <w:family w:val="swiss"/>
    <w:pitch w:val="default"/>
    <w:sig w:usb0="00000000" w:usb1="00000000" w:usb2="00000000" w:usb3="00000000" w:csb0="00040001" w:csb1="00000000"/>
    <w:embedRegular r:id="rId8" w:fontKey="{4F6E6873-8AAC-4E08-9C3E-060CAD70F077}"/>
  </w:font>
  <w:font w:name="Arial Unicode MS">
    <w:altName w:val="Arial"/>
    <w:panose1 w:val="020B0604020202020204"/>
    <w:charset w:val="00"/>
    <w:family w:val="roman"/>
    <w:pitch w:val="default"/>
    <w:sig w:usb0="00000000" w:usb1="00000000" w:usb2="00000000" w:usb3="00000000" w:csb0="00000001" w:csb1="00000000"/>
  </w:font>
  <w:font w:name="Calibri Light">
    <w:panose1 w:val="020F0302020204030204"/>
    <w:charset w:val="BA"/>
    <w:family w:val="swiss"/>
    <w:pitch w:val="default"/>
    <w:sig w:usb0="E4002EFF" w:usb1="C200247B" w:usb2="00000009" w:usb3="00000000" w:csb0="200001FF" w:csb1="00000000"/>
    <w:embedRegular r:id="rId9" w:fontKey="{18667579-1EAF-4500-ABB5-E518687E02B1}"/>
  </w:font>
  <w:font w:name="Noto Sans Symbol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embedRegular r:id="rId10" w:fontKey="{0221D710-26E1-4827-AD38-9DB3DFDC1188}"/>
  </w:font>
  <w:font w:name="Cambria Math">
    <w:panose1 w:val="02040503050406030204"/>
    <w:charset w:val="BA"/>
    <w:family w:val="roman"/>
    <w:pitch w:val="default"/>
    <w:sig w:usb0="E00006FF" w:usb1="420024FF" w:usb2="02000000" w:usb3="00000000" w:csb0="2000019F" w:csb1="00000000"/>
    <w:embedRegular r:id="rId11" w:fontKey="{B8BA549C-BE41-4882-AD63-DDFE38B7C034}"/>
  </w:font>
  <w:font w:name="Play">
    <w:altName w:val="Segoe Print"/>
    <w:panose1 w:val="00000000000000000000"/>
    <w:charset w:val="00"/>
    <w:family w:val="auto"/>
    <w:pitch w:val="default"/>
    <w:sig w:usb0="00000000" w:usb1="00000000" w:usb2="00000000" w:usb3="00000000" w:csb0="00000000" w:csb1="00000000"/>
  </w:font>
  <w:font w:name="Helvetica Neue">
    <w:altName w:val="Aria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DB">
    <w:pPr>
      <w:pBdr>
        <w:top w:val="none" w:color="000000" w:sz="0" w:space="0"/>
        <w:left w:val="none" w:color="000000" w:sz="0" w:space="0"/>
        <w:bottom w:val="none" w:color="000000" w:sz="0" w:space="0"/>
        <w:right w:val="none" w:color="000000" w:sz="0" w:space="0"/>
        <w:between w:val="none" w:color="000000" w:sz="0" w:space="0"/>
      </w:pBdr>
      <w:tabs>
        <w:tab w:val="center" w:pos="4513"/>
        <w:tab w:val="right" w:pos="9026"/>
      </w:tabs>
      <w:spacing w:after="160" w:line="276" w:lineRule="auto"/>
      <w:jc w:val="right"/>
      <w:rPr>
        <w:rFonts w:ascii="Calibri" w:hAnsi="Calibri" w:eastAsia="Calibri" w:cs="Calibri"/>
        <w:color w:val="000000"/>
        <w:sz w:val="21"/>
        <w:szCs w:val="21"/>
      </w:rPr>
    </w:pPr>
    <w:r>
      <w:rPr>
        <w:rFonts w:ascii="Calibri" w:hAnsi="Calibri" w:eastAsia="Calibri" w:cs="Calibri"/>
        <w:color w:val="000000"/>
        <w:sz w:val="21"/>
        <w:szCs w:val="21"/>
      </w:rPr>
      <w:fldChar w:fldCharType="begin"/>
    </w:r>
    <w:r>
      <w:rPr>
        <w:rFonts w:ascii="Calibri" w:hAnsi="Calibri" w:eastAsia="Calibri" w:cs="Calibri"/>
        <w:color w:val="000000"/>
        <w:sz w:val="21"/>
        <w:szCs w:val="21"/>
      </w:rPr>
      <w:instrText xml:space="preserve">PAGE</w:instrText>
    </w:r>
    <w:r>
      <w:rPr>
        <w:rFonts w:ascii="Calibri" w:hAnsi="Calibri" w:eastAsia="Calibri" w:cs="Calibri"/>
        <w:color w:val="000000"/>
        <w:sz w:val="21"/>
        <w:szCs w:val="21"/>
      </w:rPr>
      <w:fldChar w:fldCharType="separate"/>
    </w:r>
    <w:r>
      <w:rPr>
        <w:rFonts w:ascii="Calibri" w:hAnsi="Calibri" w:eastAsia="Calibri" w:cs="Calibri"/>
        <w:color w:val="000000"/>
        <w:sz w:val="21"/>
        <w:szCs w:val="21"/>
      </w:rPr>
      <w:t>3</w:t>
    </w:r>
    <w:r>
      <w:rPr>
        <w:rFonts w:ascii="Calibri" w:hAnsi="Calibri" w:eastAsia="Calibri" w:cs="Calibri"/>
        <w:color w:val="000000"/>
        <w:sz w:val="21"/>
        <w:szCs w:val="21"/>
      </w:rPr>
      <w:fldChar w:fldCharType="end"/>
    </w:r>
  </w:p>
  <w:p w14:paraId="000008DC">
    <w:pPr>
      <w:pBdr>
        <w:top w:val="none" w:color="000000" w:sz="0" w:space="0"/>
        <w:left w:val="none" w:color="000000" w:sz="0" w:space="0"/>
        <w:bottom w:val="none" w:color="000000" w:sz="0" w:space="0"/>
        <w:right w:val="none" w:color="000000" w:sz="0" w:space="0"/>
        <w:between w:val="none" w:color="000000" w:sz="0" w:space="0"/>
      </w:pBdr>
      <w:tabs>
        <w:tab w:val="center" w:pos="4513"/>
        <w:tab w:val="right" w:pos="9026"/>
      </w:tabs>
      <w:spacing w:after="160" w:line="276" w:lineRule="auto"/>
      <w:rPr>
        <w:rFonts w:ascii="Calibri" w:hAnsi="Calibri" w:eastAsia="Calibri" w:cs="Calibri"/>
        <w:color w:val="000000"/>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89259">
    <w:pPr>
      <w:pStyle w:val="17"/>
      <w:jc w:val="right"/>
    </w:pPr>
  </w:p>
  <w:p w14:paraId="000008DE">
    <w:pPr>
      <w:pBdr>
        <w:top w:val="none" w:color="000000" w:sz="0" w:space="0"/>
        <w:left w:val="none" w:color="000000" w:sz="0" w:space="0"/>
        <w:bottom w:val="none" w:color="000000" w:sz="0" w:space="0"/>
        <w:right w:val="none" w:color="000000" w:sz="0" w:space="0"/>
        <w:between w:val="none" w:color="000000" w:sz="0" w:space="0"/>
      </w:pBdr>
      <w:tabs>
        <w:tab w:val="center" w:pos="4513"/>
        <w:tab w:val="right" w:pos="9026"/>
      </w:tabs>
      <w:spacing w:after="160" w:line="276" w:lineRule="auto"/>
      <w:rPr>
        <w:rFonts w:ascii="Calibri" w:hAnsi="Calibri" w:eastAsia="Calibri" w:cs="Calibri"/>
        <w:color w:val="000000"/>
        <w:sz w:val="21"/>
        <w:szCs w:val="21"/>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DF">
    <w:pPr>
      <w:tabs>
        <w:tab w:val="center" w:pos="4819"/>
        <w:tab w:val="right" w:pos="9638"/>
      </w:tabs>
      <w:jc w:val="right"/>
      <w:rPr>
        <w:color w:val="000000"/>
      </w:rPr>
    </w:pPr>
    <w:r>
      <w:rPr>
        <w:color w:val="000000"/>
      </w:rPr>
      <w:fldChar w:fldCharType="begin"/>
    </w:r>
    <w:r>
      <w:rPr>
        <w:color w:val="000000"/>
      </w:rPr>
      <w:instrText xml:space="preserve">PAGE</w:instrText>
    </w:r>
    <w:r>
      <w:rPr>
        <w:color w:val="000000"/>
      </w:rPr>
      <w:fldChar w:fldCharType="separate"/>
    </w:r>
    <w:r>
      <w:rPr>
        <w:color w:val="000000"/>
      </w:rPr>
      <w:t>9</w:t>
    </w:r>
    <w:r>
      <w:rPr>
        <w:color w:val="000000"/>
      </w:rPr>
      <w:fldChar w:fldCharType="end"/>
    </w:r>
  </w:p>
  <w:p w14:paraId="000008E0">
    <w:pPr>
      <w:pBdr>
        <w:top w:val="none" w:color="000000" w:sz="0" w:space="0"/>
        <w:left w:val="none" w:color="000000" w:sz="0" w:space="0"/>
        <w:bottom w:val="none" w:color="000000" w:sz="0" w:space="0"/>
        <w:right w:val="none" w:color="000000" w:sz="0" w:space="0"/>
        <w:between w:val="none" w:color="000000" w:sz="0" w:space="0"/>
      </w:pBdr>
      <w:tabs>
        <w:tab w:val="center" w:pos="4513"/>
        <w:tab w:val="left" w:pos="8582"/>
        <w:tab w:val="right" w:pos="9026"/>
      </w:tabs>
      <w:spacing w:after="160" w:line="276" w:lineRule="auto"/>
      <w:rPr>
        <w:rFonts w:ascii="Calibri" w:hAnsi="Calibri" w:eastAsia="Calibri" w:cs="Calibri"/>
        <w:color w:val="000000"/>
        <w:sz w:val="21"/>
        <w:szCs w:val="21"/>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E1">
    <w:pPr>
      <w:tabs>
        <w:tab w:val="center" w:pos="4819"/>
        <w:tab w:val="right" w:pos="9638"/>
      </w:tabs>
      <w:jc w:val="right"/>
      <w:rPr>
        <w:color w:val="000000"/>
      </w:rPr>
    </w:pPr>
    <w:r>
      <w:rPr>
        <w:color w:val="000000"/>
      </w:rPr>
      <w:fldChar w:fldCharType="begin"/>
    </w:r>
    <w:r>
      <w:rPr>
        <w:color w:val="000000"/>
      </w:rPr>
      <w:instrText xml:space="preserve">PAGE</w:instrText>
    </w:r>
    <w:r>
      <w:rPr>
        <w:color w:val="000000"/>
      </w:rPr>
      <w:fldChar w:fldCharType="separate"/>
    </w:r>
    <w:r>
      <w:rPr>
        <w:color w:val="000000"/>
      </w:rPr>
      <w:t>8</w:t>
    </w:r>
    <w:r>
      <w:rPr>
        <w:color w:val="000000"/>
      </w:rPr>
      <w:fldChar w:fldCharType="end"/>
    </w:r>
  </w:p>
  <w:p w14:paraId="000008E2">
    <w:pPr>
      <w:pBdr>
        <w:top w:val="none" w:color="000000" w:sz="0" w:space="0"/>
        <w:left w:val="none" w:color="000000" w:sz="0" w:space="0"/>
        <w:bottom w:val="none" w:color="000000" w:sz="0" w:space="0"/>
        <w:right w:val="none" w:color="000000" w:sz="0" w:space="0"/>
        <w:between w:val="none" w:color="000000" w:sz="0" w:space="0"/>
      </w:pBdr>
      <w:tabs>
        <w:tab w:val="center" w:pos="4513"/>
        <w:tab w:val="right" w:pos="9026"/>
      </w:tabs>
      <w:spacing w:after="160" w:line="276" w:lineRule="auto"/>
      <w:rPr>
        <w:rFonts w:ascii="Calibri" w:hAnsi="Calibri" w:eastAsia="Calibri" w:cs="Calibri"/>
        <w:color w:val="000000"/>
        <w:sz w:val="21"/>
        <w:szCs w:val="21"/>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E4">
    <w:pPr>
      <w:tabs>
        <w:tab w:val="center" w:pos="4819"/>
        <w:tab w:val="right" w:pos="9638"/>
      </w:tabs>
      <w:jc w:val="right"/>
      <w:rPr>
        <w:color w:val="000000"/>
      </w:rPr>
    </w:pPr>
    <w:r>
      <w:rPr>
        <w:color w:val="000000"/>
      </w:rPr>
      <w:fldChar w:fldCharType="begin"/>
    </w:r>
    <w:r>
      <w:rPr>
        <w:color w:val="000000"/>
      </w:rPr>
      <w:instrText xml:space="preserve">PAGE</w:instrText>
    </w:r>
    <w:r>
      <w:rPr>
        <w:color w:val="000000"/>
      </w:rPr>
      <w:fldChar w:fldCharType="separate"/>
    </w:r>
    <w:r>
      <w:rPr>
        <w:color w:val="000000"/>
      </w:rPr>
      <w:t>37</w:t>
    </w:r>
    <w:r>
      <w:rPr>
        <w:color w:val="000000"/>
      </w:rPr>
      <w:fldChar w:fldCharType="end"/>
    </w:r>
  </w:p>
  <w:p w14:paraId="000008E5">
    <w:pPr>
      <w:tabs>
        <w:tab w:val="center" w:pos="4819"/>
        <w:tab w:val="right" w:pos="9638"/>
      </w:tabs>
      <w:rPr>
        <w:color w:val="00000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E3">
    <w:pPr>
      <w:tabs>
        <w:tab w:val="center" w:pos="4819"/>
        <w:tab w:val="right" w:pos="9638"/>
      </w:tabs>
      <w:rPr>
        <w:color w:val="00000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E6">
    <w:pPr>
      <w:tabs>
        <w:tab w:val="center" w:pos="4819"/>
        <w:tab w:val="right" w:pos="9638"/>
      </w:tabs>
      <w:jc w:val="right"/>
      <w:rPr>
        <w:color w:val="000000"/>
      </w:rPr>
    </w:pPr>
    <w:r>
      <w:rPr>
        <w:color w:val="000000"/>
      </w:rPr>
      <w:fldChar w:fldCharType="begin"/>
    </w:r>
    <w:r>
      <w:rPr>
        <w:color w:val="000000"/>
      </w:rPr>
      <w:instrText xml:space="preserve">PAGE</w:instrText>
    </w:r>
    <w:r>
      <w:rPr>
        <w:color w:val="000000"/>
      </w:rPr>
      <w:fldChar w:fldCharType="end"/>
    </w:r>
  </w:p>
  <w:p w14:paraId="000008E7">
    <w:pPr>
      <w:tabs>
        <w:tab w:val="center" w:pos="4819"/>
        <w:tab w:val="right" w:pos="9638"/>
      </w:tabs>
      <w:rPr>
        <w:color w:val="00000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E8">
    <w:pPr>
      <w:tabs>
        <w:tab w:val="center" w:pos="4819"/>
        <w:tab w:val="right" w:pos="9638"/>
      </w:tabs>
      <w:jc w:val="right"/>
      <w:rPr>
        <w:color w:val="000000"/>
      </w:rPr>
    </w:pPr>
    <w:r>
      <w:rPr>
        <w:color w:val="000000"/>
      </w:rPr>
      <w:fldChar w:fldCharType="begin"/>
    </w:r>
    <w:r>
      <w:rPr>
        <w:color w:val="000000"/>
      </w:rPr>
      <w:instrText xml:space="preserve">PAGE</w:instrText>
    </w:r>
    <w:r>
      <w:rPr>
        <w:color w:val="000000"/>
      </w:rPr>
      <w:fldChar w:fldCharType="separate"/>
    </w:r>
    <w:r>
      <w:rPr>
        <w:color w:val="000000"/>
      </w:rPr>
      <w:t>38</w:t>
    </w:r>
    <w:r>
      <w:rPr>
        <w:color w:val="000000"/>
      </w:rPr>
      <w:fldChar w:fldCharType="end"/>
    </w:r>
  </w:p>
  <w:p w14:paraId="000008E9">
    <w:pPr>
      <w:tabs>
        <w:tab w:val="center" w:pos="4750"/>
        <w:tab w:val="right" w:pos="9020"/>
        <w:tab w:val="right" w:pos="9500"/>
      </w:tabs>
      <w:spacing w:line="288" w:lineRule="auto"/>
      <w:rPr>
        <w:rFonts w:ascii="Helvetica Neue" w:hAnsi="Helvetica Neue" w:eastAsia="Helvetica Neue" w:cs="Helvetica Neue"/>
        <w:color w:val="5F5F5F"/>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000008CA">
      <w:pPr>
        <w:pBdr>
          <w:top w:val="none" w:color="000000" w:sz="0" w:space="0"/>
          <w:left w:val="none" w:color="000000" w:sz="0" w:space="0"/>
          <w:bottom w:val="none" w:color="000000" w:sz="0" w:space="0"/>
          <w:right w:val="none" w:color="000000" w:sz="0" w:space="0"/>
          <w:between w:val="none" w:color="000000" w:sz="0" w:space="0"/>
        </w:pBdr>
        <w:spacing w:after="160" w:line="276" w:lineRule="auto"/>
        <w:jc w:val="both"/>
        <w:rPr>
          <w:rFonts w:ascii="Calibri" w:hAnsi="Calibri" w:eastAsia="Calibri" w:cs="Calibri"/>
          <w:color w:val="000000"/>
          <w:sz w:val="20"/>
          <w:szCs w:val="20"/>
        </w:rPr>
      </w:pPr>
      <w:r>
        <w:rPr>
          <w:rStyle w:val="18"/>
        </w:rPr>
        <w:footnoteRef/>
      </w:r>
      <w:r>
        <w:rPr>
          <w:rFonts w:ascii="Calibri" w:hAnsi="Calibri" w:eastAsia="Calibri" w:cs="Calibri"/>
          <w:i/>
          <w:color w:val="000000"/>
          <w:sz w:val="20"/>
          <w:szCs w:val="20"/>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00008CB">
      <w:pPr>
        <w:numPr>
          <w:ilvl w:val="0"/>
          <w:numId w:val="2"/>
        </w:numPr>
        <w:pBdr>
          <w:top w:val="none" w:color="000000" w:sz="0" w:space="0"/>
          <w:left w:val="none" w:color="000000" w:sz="0" w:space="0"/>
          <w:bottom w:val="none" w:color="000000" w:sz="0" w:space="0"/>
          <w:right w:val="none" w:color="000000" w:sz="0" w:space="0"/>
          <w:between w:val="none" w:color="000000" w:sz="0" w:space="0"/>
        </w:pBdr>
        <w:jc w:val="both"/>
        <w:rPr>
          <w:rFonts w:ascii="Calibri" w:hAnsi="Calibri" w:eastAsia="Calibri" w:cs="Calibri"/>
          <w:i/>
          <w:color w:val="000000"/>
          <w:sz w:val="20"/>
          <w:szCs w:val="20"/>
        </w:rPr>
      </w:pPr>
      <w:r>
        <w:rPr>
          <w:rFonts w:ascii="Calibri" w:hAnsi="Calibri" w:eastAsia="Calibri" w:cs="Calibri"/>
          <w:i/>
          <w:color w:val="000000"/>
          <w:sz w:val="20"/>
          <w:szCs w:val="20"/>
        </w:rPr>
        <w:t xml:space="preserve">priesaikos deklaracija; </w:t>
      </w:r>
    </w:p>
    <w:p w14:paraId="000008CC">
      <w:pPr>
        <w:numPr>
          <w:ilvl w:val="0"/>
          <w:numId w:val="2"/>
        </w:numPr>
        <w:pBdr>
          <w:top w:val="none" w:color="000000" w:sz="0" w:space="0"/>
          <w:left w:val="none" w:color="000000" w:sz="0" w:space="0"/>
          <w:bottom w:val="none" w:color="000000" w:sz="0" w:space="0"/>
          <w:right w:val="none" w:color="000000" w:sz="0" w:space="0"/>
          <w:between w:val="none" w:color="000000" w:sz="0" w:space="0"/>
        </w:pBdr>
        <w:jc w:val="both"/>
      </w:pPr>
      <w:r>
        <w:rPr>
          <w:rFonts w:ascii="Calibri" w:hAnsi="Calibri" w:eastAsia="Calibri" w:cs="Calibri"/>
          <w:i/>
          <w:color w:val="000000"/>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1">
    <w:p w14:paraId="000008CD">
      <w:pPr>
        <w:pBdr>
          <w:top w:val="none" w:color="000000" w:sz="0" w:space="0"/>
          <w:left w:val="none" w:color="000000" w:sz="0" w:space="0"/>
          <w:bottom w:val="none" w:color="000000" w:sz="0" w:space="0"/>
          <w:right w:val="none" w:color="000000" w:sz="0" w:space="0"/>
          <w:between w:val="none" w:color="000000" w:sz="0" w:space="0"/>
        </w:pBdr>
        <w:spacing w:after="160" w:line="276" w:lineRule="auto"/>
        <w:jc w:val="both"/>
        <w:rPr>
          <w:rFonts w:ascii="Calibri" w:hAnsi="Calibri" w:eastAsia="Calibri" w:cs="Calibri"/>
          <w:color w:val="000000"/>
          <w:sz w:val="20"/>
          <w:szCs w:val="20"/>
        </w:rPr>
      </w:pPr>
      <w:r>
        <w:rPr>
          <w:rStyle w:val="18"/>
        </w:rPr>
        <w:footnoteRef/>
      </w:r>
      <w:r>
        <w:rPr>
          <w:rFonts w:ascii="Calibri" w:hAnsi="Calibri" w:eastAsia="Calibri" w:cs="Calibri"/>
          <w:color w:val="000000"/>
          <w:sz w:val="20"/>
          <w:szCs w:val="20"/>
        </w:rPr>
        <w:t xml:space="preserve"> </w:t>
      </w:r>
      <w:r>
        <w:rPr>
          <w:rFonts w:ascii="Calibri" w:hAnsi="Calibri" w:eastAsia="Calibri" w:cs="Calibri"/>
          <w:i/>
          <w:color w:val="000000"/>
          <w:sz w:val="20"/>
          <w:szCs w:val="20"/>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00008CE">
      <w:pPr>
        <w:numPr>
          <w:ilvl w:val="0"/>
          <w:numId w:val="3"/>
        </w:numPr>
        <w:pBdr>
          <w:top w:val="none" w:color="000000" w:sz="0" w:space="0"/>
          <w:left w:val="none" w:color="000000" w:sz="0" w:space="0"/>
          <w:bottom w:val="none" w:color="000000" w:sz="0" w:space="0"/>
          <w:right w:val="none" w:color="000000" w:sz="0" w:space="0"/>
          <w:between w:val="none" w:color="000000" w:sz="0" w:space="0"/>
        </w:pBdr>
        <w:jc w:val="both"/>
        <w:rPr>
          <w:rFonts w:ascii="Calibri" w:hAnsi="Calibri" w:eastAsia="Calibri" w:cs="Calibri"/>
          <w:i/>
          <w:color w:val="000000"/>
          <w:sz w:val="20"/>
          <w:szCs w:val="20"/>
        </w:rPr>
      </w:pPr>
      <w:r>
        <w:rPr>
          <w:rFonts w:ascii="Calibri" w:hAnsi="Calibri" w:eastAsia="Calibri" w:cs="Calibri"/>
          <w:i/>
          <w:color w:val="000000"/>
          <w:sz w:val="20"/>
          <w:szCs w:val="20"/>
        </w:rPr>
        <w:t xml:space="preserve">priesaikos deklaracija; </w:t>
      </w:r>
    </w:p>
    <w:p w14:paraId="000008CF">
      <w:pPr>
        <w:numPr>
          <w:ilvl w:val="0"/>
          <w:numId w:val="3"/>
        </w:numPr>
        <w:pBdr>
          <w:top w:val="none" w:color="000000" w:sz="0" w:space="0"/>
          <w:left w:val="none" w:color="000000" w:sz="0" w:space="0"/>
          <w:bottom w:val="none" w:color="000000" w:sz="0" w:space="0"/>
          <w:right w:val="none" w:color="000000" w:sz="0" w:space="0"/>
          <w:between w:val="none" w:color="000000" w:sz="0" w:space="0"/>
        </w:pBdr>
        <w:jc w:val="both"/>
      </w:pPr>
      <w:r>
        <w:rPr>
          <w:rFonts w:ascii="Calibri" w:hAnsi="Calibri" w:eastAsia="Calibri" w:cs="Calibri"/>
          <w:i/>
          <w:color w:val="000000"/>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00008D0">
      <w:pPr>
        <w:pBdr>
          <w:top w:val="none" w:color="000000" w:sz="0" w:space="0"/>
          <w:left w:val="none" w:color="000000" w:sz="0" w:space="0"/>
          <w:bottom w:val="none" w:color="000000" w:sz="0" w:space="0"/>
          <w:right w:val="none" w:color="000000" w:sz="0" w:space="0"/>
          <w:between w:val="none" w:color="000000" w:sz="0" w:space="0"/>
        </w:pBdr>
        <w:spacing w:after="160" w:line="276" w:lineRule="auto"/>
        <w:jc w:val="both"/>
        <w:rPr>
          <w:rFonts w:ascii="Calibri" w:hAnsi="Calibri" w:eastAsia="Calibri" w:cs="Calibri"/>
          <w:color w:val="000000"/>
          <w:sz w:val="20"/>
          <w:szCs w:val="20"/>
        </w:rPr>
      </w:pPr>
      <w:r>
        <w:rPr>
          <w:rStyle w:val="18"/>
        </w:rPr>
        <w:footnoteRef/>
      </w:r>
      <w:r>
        <w:rPr>
          <w:rFonts w:ascii="Calibri" w:hAnsi="Calibri" w:eastAsia="Calibri" w:cs="Calibri"/>
          <w:color w:val="000000"/>
          <w:sz w:val="20"/>
          <w:szCs w:val="20"/>
        </w:rPr>
        <w:t xml:space="preserve"> </w:t>
      </w:r>
      <w:r>
        <w:rPr>
          <w:rFonts w:ascii="Calibri" w:hAnsi="Calibri" w:eastAsia="Calibri" w:cs="Calibri"/>
          <w:i/>
          <w:color w:val="000000"/>
          <w:sz w:val="20"/>
          <w:szCs w:val="20"/>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00008D1">
      <w:pPr>
        <w:numPr>
          <w:ilvl w:val="0"/>
          <w:numId w:val="4"/>
        </w:numPr>
        <w:pBdr>
          <w:top w:val="none" w:color="000000" w:sz="0" w:space="0"/>
          <w:left w:val="none" w:color="000000" w:sz="0" w:space="0"/>
          <w:bottom w:val="none" w:color="000000" w:sz="0" w:space="0"/>
          <w:right w:val="none" w:color="000000" w:sz="0" w:space="0"/>
          <w:between w:val="none" w:color="000000" w:sz="0" w:space="0"/>
        </w:pBdr>
        <w:jc w:val="both"/>
        <w:rPr>
          <w:rFonts w:ascii="Calibri" w:hAnsi="Calibri" w:eastAsia="Calibri" w:cs="Calibri"/>
          <w:i/>
          <w:color w:val="000000"/>
          <w:sz w:val="20"/>
          <w:szCs w:val="20"/>
        </w:rPr>
      </w:pPr>
      <w:r>
        <w:rPr>
          <w:rFonts w:ascii="Calibri" w:hAnsi="Calibri" w:eastAsia="Calibri" w:cs="Calibri"/>
          <w:i/>
          <w:color w:val="000000"/>
          <w:sz w:val="20"/>
          <w:szCs w:val="20"/>
        </w:rPr>
        <w:t xml:space="preserve">priesaikos deklaracija; </w:t>
      </w:r>
    </w:p>
    <w:p w14:paraId="000008D2">
      <w:pPr>
        <w:numPr>
          <w:ilvl w:val="0"/>
          <w:numId w:val="4"/>
        </w:numPr>
        <w:pBdr>
          <w:top w:val="none" w:color="000000" w:sz="0" w:space="0"/>
          <w:left w:val="none" w:color="000000" w:sz="0" w:space="0"/>
          <w:bottom w:val="none" w:color="000000" w:sz="0" w:space="0"/>
          <w:right w:val="none" w:color="000000" w:sz="0" w:space="0"/>
          <w:between w:val="none" w:color="000000" w:sz="0" w:space="0"/>
        </w:pBdr>
        <w:jc w:val="both"/>
      </w:pPr>
      <w:r>
        <w:rPr>
          <w:rFonts w:ascii="Calibri" w:hAnsi="Calibri" w:eastAsia="Calibri" w:cs="Calibri"/>
          <w:i/>
          <w:color w:val="000000"/>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D3">
    <w:pPr>
      <w:tabs>
        <w:tab w:val="center" w:pos="4819"/>
        <w:tab w:val="right" w:pos="9638"/>
      </w:tabs>
      <w:jc w:val="right"/>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D4">
    <w:pPr>
      <w:pBdr>
        <w:top w:val="none" w:color="000000" w:sz="0" w:space="0"/>
        <w:left w:val="none" w:color="000000" w:sz="0" w:space="0"/>
        <w:bottom w:val="none" w:color="000000" w:sz="0" w:space="0"/>
        <w:right w:val="none" w:color="000000" w:sz="0" w:space="0"/>
        <w:between w:val="none" w:color="000000" w:sz="0" w:space="0"/>
      </w:pBdr>
      <w:tabs>
        <w:tab w:val="center" w:pos="4513"/>
        <w:tab w:val="right" w:pos="9026"/>
      </w:tabs>
      <w:spacing w:after="160" w:line="276" w:lineRule="auto"/>
      <w:jc w:val="right"/>
      <w:rPr>
        <w:rFonts w:ascii="Calibri" w:hAnsi="Calibri" w:eastAsia="Calibri" w:cs="Calibri"/>
        <w:color w:val="000000"/>
        <w:sz w:val="21"/>
        <w:szCs w:val="21"/>
      </w:rPr>
    </w:pPr>
  </w:p>
  <w:p w14:paraId="000008D5">
    <w:pPr>
      <w:pBdr>
        <w:top w:val="none" w:color="000000" w:sz="0" w:space="0"/>
        <w:left w:val="none" w:color="000000" w:sz="0" w:space="0"/>
        <w:bottom w:val="none" w:color="000000" w:sz="0" w:space="0"/>
        <w:right w:val="none" w:color="000000" w:sz="0" w:space="0"/>
        <w:between w:val="none" w:color="000000" w:sz="0" w:space="0"/>
      </w:pBdr>
      <w:tabs>
        <w:tab w:val="center" w:pos="4513"/>
        <w:tab w:val="right" w:pos="9026"/>
      </w:tabs>
      <w:spacing w:after="160" w:line="276" w:lineRule="auto"/>
      <w:rPr>
        <w:rFonts w:ascii="Calibri" w:hAnsi="Calibri" w:eastAsia="Calibri" w:cs="Calibri"/>
        <w:color w:val="000000"/>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D6">
    <w:pPr>
      <w:pBdr>
        <w:top w:val="none" w:color="000000" w:sz="0" w:space="0"/>
        <w:left w:val="none" w:color="000000" w:sz="0" w:space="0"/>
        <w:bottom w:val="none" w:color="000000" w:sz="0" w:space="0"/>
        <w:right w:val="none" w:color="000000" w:sz="0" w:space="0"/>
        <w:between w:val="none" w:color="000000" w:sz="0" w:space="0"/>
      </w:pBdr>
      <w:tabs>
        <w:tab w:val="center" w:pos="4513"/>
        <w:tab w:val="right" w:pos="9026"/>
      </w:tabs>
      <w:spacing w:after="160" w:line="276" w:lineRule="auto"/>
      <w:rPr>
        <w:rFonts w:ascii="Calibri" w:hAnsi="Calibri" w:eastAsia="Calibri" w:cs="Calibri"/>
        <w:color w:val="000000"/>
        <w:sz w:val="21"/>
        <w:szCs w:val="21"/>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D9">
    <w:pPr>
      <w:tabs>
        <w:tab w:val="center" w:pos="4819"/>
        <w:tab w:val="right" w:pos="9638"/>
      </w:tabs>
      <w:rPr>
        <w:color w:val="00000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D7">
    <w:pPr>
      <w:tabs>
        <w:tab w:val="center" w:pos="4819"/>
        <w:tab w:val="right" w:pos="9638"/>
      </w:tabs>
      <w:jc w:val="center"/>
      <w:rPr>
        <w:color w:val="000000"/>
      </w:rPr>
    </w:pPr>
    <w:r>
      <w:rPr>
        <w:color w:val="000000"/>
      </w:rPr>
      <w:fldChar w:fldCharType="begin"/>
    </w:r>
    <w:r>
      <w:rPr>
        <w:color w:val="000000"/>
      </w:rPr>
      <w:instrText xml:space="preserve">PAGE</w:instrText>
    </w:r>
    <w:r>
      <w:rPr>
        <w:color w:val="000000"/>
      </w:rPr>
      <w:fldChar w:fldCharType="end"/>
    </w:r>
  </w:p>
  <w:p w14:paraId="000008D8">
    <w:pPr>
      <w:tabs>
        <w:tab w:val="center" w:pos="4819"/>
        <w:tab w:val="right" w:pos="9638"/>
      </w:tabs>
      <w:rPr>
        <w:color w:val="00000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8DA">
    <w:pPr>
      <w:tabs>
        <w:tab w:val="center" w:pos="4819"/>
        <w:tab w:val="right" w:pos="9638"/>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072CA7"/>
    <w:multiLevelType w:val="multilevel"/>
    <w:tmpl w:val="04072CA7"/>
    <w:lvl w:ilvl="0" w:tentative="0">
      <w:start w:val="1"/>
      <w:numFmt w:val="decimal"/>
      <w:lvlText w:val="%1."/>
      <w:lvlJc w:val="left"/>
      <w:pPr>
        <w:ind w:left="360" w:hanging="360"/>
      </w:pPr>
      <w:rPr>
        <w:rFonts w:ascii="Calibri" w:hAnsi="Calibri" w:eastAsia="Calibri" w:cs="Calibri"/>
        <w:b w:val="0"/>
        <w:i w:val="0"/>
        <w:color w:val="000000"/>
        <w:sz w:val="21"/>
        <w:szCs w:val="21"/>
      </w:rPr>
    </w:lvl>
    <w:lvl w:ilvl="1" w:tentative="0">
      <w:start w:val="1"/>
      <w:numFmt w:val="decimal"/>
      <w:lvlText w:val="%1.%2."/>
      <w:lvlJc w:val="left"/>
      <w:pPr>
        <w:ind w:left="720" w:hanging="360"/>
      </w:pPr>
      <w:rPr>
        <w:rFonts w:ascii="Calibri" w:hAnsi="Calibri" w:eastAsia="Calibri" w:cs="Calibri"/>
        <w:b w:val="0"/>
        <w:color w:val="000000"/>
        <w:sz w:val="21"/>
        <w:szCs w:val="21"/>
      </w:rPr>
    </w:lvl>
    <w:lvl w:ilvl="2" w:tentative="0">
      <w:start w:val="1"/>
      <w:numFmt w:val="decimal"/>
      <w:lvlText w:val="%1.%2.%3."/>
      <w:lvlJc w:val="left"/>
      <w:pPr>
        <w:ind w:left="1440" w:hanging="720"/>
      </w:pPr>
      <w:rPr>
        <w:rFonts w:ascii="Calibri" w:hAnsi="Calibri" w:eastAsia="Calibri" w:cs="Calibri"/>
        <w:sz w:val="21"/>
        <w:szCs w:val="21"/>
      </w:rPr>
    </w:lvl>
    <w:lvl w:ilvl="3" w:tentative="0">
      <w:start w:val="1"/>
      <w:numFmt w:val="decimal"/>
      <w:lvlText w:val="%1.%2.%3.%4."/>
      <w:lvlJc w:val="left"/>
      <w:pPr>
        <w:ind w:left="1800" w:hanging="720"/>
      </w:pPr>
      <w:rPr>
        <w:rFonts w:ascii="Calibri" w:hAnsi="Calibri" w:eastAsia="Calibri" w:cs="Calibri"/>
        <w:sz w:val="22"/>
        <w:szCs w:val="22"/>
      </w:rPr>
    </w:lvl>
    <w:lvl w:ilvl="4" w:tentative="0">
      <w:start w:val="1"/>
      <w:numFmt w:val="decimal"/>
      <w:lvlText w:val="%1.%2.%3.%4.%5."/>
      <w:lvlJc w:val="left"/>
      <w:pPr>
        <w:ind w:left="2520" w:hanging="1080"/>
      </w:pPr>
      <w:rPr>
        <w:rFonts w:ascii="Calibri" w:hAnsi="Calibri" w:eastAsia="Calibri" w:cs="Calibri"/>
        <w:sz w:val="22"/>
        <w:szCs w:val="22"/>
      </w:rPr>
    </w:lvl>
    <w:lvl w:ilvl="5" w:tentative="0">
      <w:start w:val="1"/>
      <w:numFmt w:val="decimal"/>
      <w:lvlText w:val="%1.%2.%3.%4.%5.%6."/>
      <w:lvlJc w:val="left"/>
      <w:pPr>
        <w:ind w:left="2880" w:hanging="1080"/>
      </w:pPr>
      <w:rPr>
        <w:rFonts w:ascii="Calibri" w:hAnsi="Calibri" w:eastAsia="Calibri" w:cs="Calibri"/>
        <w:sz w:val="22"/>
        <w:szCs w:val="22"/>
      </w:rPr>
    </w:lvl>
    <w:lvl w:ilvl="6" w:tentative="0">
      <w:start w:val="1"/>
      <w:numFmt w:val="decimal"/>
      <w:lvlText w:val="%1.%2.%3.%4.%5.%6.%7."/>
      <w:lvlJc w:val="left"/>
      <w:pPr>
        <w:ind w:left="3600" w:hanging="1440"/>
      </w:pPr>
      <w:rPr>
        <w:rFonts w:ascii="Calibri" w:hAnsi="Calibri" w:eastAsia="Calibri" w:cs="Calibri"/>
        <w:sz w:val="22"/>
        <w:szCs w:val="22"/>
      </w:rPr>
    </w:lvl>
    <w:lvl w:ilvl="7" w:tentative="0">
      <w:start w:val="1"/>
      <w:numFmt w:val="decimal"/>
      <w:lvlText w:val="%1.%2.%3.%4.%5.%6.%7.%8."/>
      <w:lvlJc w:val="left"/>
      <w:pPr>
        <w:ind w:left="3960" w:hanging="1440"/>
      </w:pPr>
      <w:rPr>
        <w:rFonts w:ascii="Calibri" w:hAnsi="Calibri" w:eastAsia="Calibri" w:cs="Calibri"/>
        <w:sz w:val="22"/>
        <w:szCs w:val="22"/>
      </w:rPr>
    </w:lvl>
    <w:lvl w:ilvl="8" w:tentative="0">
      <w:start w:val="1"/>
      <w:numFmt w:val="decimal"/>
      <w:lvlText w:val="%1.%2.%3.%4.%5.%6.%7.%8.%9."/>
      <w:lvlJc w:val="left"/>
      <w:pPr>
        <w:ind w:left="4680" w:hanging="1800"/>
      </w:pPr>
      <w:rPr>
        <w:rFonts w:ascii="Calibri" w:hAnsi="Calibri" w:eastAsia="Calibri" w:cs="Calibri"/>
        <w:sz w:val="22"/>
        <w:szCs w:val="22"/>
      </w:rPr>
    </w:lvl>
  </w:abstractNum>
  <w:abstractNum w:abstractNumId="1">
    <w:nsid w:val="058A2501"/>
    <w:multiLevelType w:val="multilevel"/>
    <w:tmpl w:val="058A2501"/>
    <w:lvl w:ilvl="0" w:tentative="0">
      <w:start w:val="0"/>
      <w:numFmt w:val="bullet"/>
      <w:lvlText w:val="●"/>
      <w:lvlJc w:val="left"/>
      <w:pPr>
        <w:ind w:left="720" w:hanging="360"/>
      </w:pPr>
      <w:rPr>
        <w:rFonts w:ascii="Noto Sans Symbols" w:hAnsi="Noto Sans Symbols" w:eastAsia="Noto Sans Symbols" w:cs="Noto Sans Symbols"/>
      </w:rPr>
    </w:lvl>
    <w:lvl w:ilvl="1" w:tentative="0">
      <w:start w:val="0"/>
      <w:numFmt w:val="bullet"/>
      <w:lvlText w:val="o"/>
      <w:lvlJc w:val="left"/>
      <w:pPr>
        <w:ind w:left="1440" w:hanging="360"/>
      </w:pPr>
      <w:rPr>
        <w:rFonts w:ascii="Courier New" w:hAnsi="Courier New" w:eastAsia="Courier New" w:cs="Courier New"/>
      </w:rPr>
    </w:lvl>
    <w:lvl w:ilvl="2" w:tentative="0">
      <w:start w:val="0"/>
      <w:numFmt w:val="bullet"/>
      <w:lvlText w:val="▪"/>
      <w:lvlJc w:val="left"/>
      <w:pPr>
        <w:ind w:left="2160" w:hanging="360"/>
      </w:pPr>
      <w:rPr>
        <w:rFonts w:ascii="Noto Sans Symbols" w:hAnsi="Noto Sans Symbols" w:eastAsia="Noto Sans Symbols" w:cs="Noto Sans Symbols"/>
      </w:rPr>
    </w:lvl>
    <w:lvl w:ilvl="3" w:tentative="0">
      <w:start w:val="0"/>
      <w:numFmt w:val="bullet"/>
      <w:lvlText w:val="●"/>
      <w:lvlJc w:val="left"/>
      <w:pPr>
        <w:ind w:left="2880" w:hanging="360"/>
      </w:pPr>
      <w:rPr>
        <w:rFonts w:ascii="Noto Sans Symbols" w:hAnsi="Noto Sans Symbols" w:eastAsia="Noto Sans Symbols" w:cs="Noto Sans Symbols"/>
      </w:rPr>
    </w:lvl>
    <w:lvl w:ilvl="4" w:tentative="0">
      <w:start w:val="0"/>
      <w:numFmt w:val="bullet"/>
      <w:lvlText w:val="o"/>
      <w:lvlJc w:val="left"/>
      <w:pPr>
        <w:ind w:left="3600" w:hanging="360"/>
      </w:pPr>
      <w:rPr>
        <w:rFonts w:ascii="Courier New" w:hAnsi="Courier New" w:eastAsia="Courier New" w:cs="Courier New"/>
      </w:rPr>
    </w:lvl>
    <w:lvl w:ilvl="5" w:tentative="0">
      <w:start w:val="0"/>
      <w:numFmt w:val="bullet"/>
      <w:lvlText w:val="▪"/>
      <w:lvlJc w:val="left"/>
      <w:pPr>
        <w:ind w:left="4320" w:hanging="360"/>
      </w:pPr>
      <w:rPr>
        <w:rFonts w:ascii="Noto Sans Symbols" w:hAnsi="Noto Sans Symbols" w:eastAsia="Noto Sans Symbols" w:cs="Noto Sans Symbols"/>
      </w:rPr>
    </w:lvl>
    <w:lvl w:ilvl="6" w:tentative="0">
      <w:start w:val="0"/>
      <w:numFmt w:val="bullet"/>
      <w:lvlText w:val="●"/>
      <w:lvlJc w:val="left"/>
      <w:pPr>
        <w:ind w:left="5040" w:hanging="360"/>
      </w:pPr>
      <w:rPr>
        <w:rFonts w:ascii="Noto Sans Symbols" w:hAnsi="Noto Sans Symbols" w:eastAsia="Noto Sans Symbols" w:cs="Noto Sans Symbols"/>
      </w:rPr>
    </w:lvl>
    <w:lvl w:ilvl="7" w:tentative="0">
      <w:start w:val="0"/>
      <w:numFmt w:val="bullet"/>
      <w:lvlText w:val="o"/>
      <w:lvlJc w:val="left"/>
      <w:pPr>
        <w:ind w:left="5760" w:hanging="360"/>
      </w:pPr>
      <w:rPr>
        <w:rFonts w:ascii="Courier New" w:hAnsi="Courier New" w:eastAsia="Courier New" w:cs="Courier New"/>
      </w:rPr>
    </w:lvl>
    <w:lvl w:ilvl="8" w:tentative="0">
      <w:start w:val="0"/>
      <w:numFmt w:val="bullet"/>
      <w:lvlText w:val="▪"/>
      <w:lvlJc w:val="left"/>
      <w:pPr>
        <w:ind w:left="6480" w:hanging="360"/>
      </w:pPr>
      <w:rPr>
        <w:rFonts w:ascii="Noto Sans Symbols" w:hAnsi="Noto Sans Symbols" w:eastAsia="Noto Sans Symbols" w:cs="Noto Sans Symbols"/>
      </w:rPr>
    </w:lvl>
  </w:abstractNum>
  <w:abstractNum w:abstractNumId="2">
    <w:nsid w:val="0608055F"/>
    <w:multiLevelType w:val="multilevel"/>
    <w:tmpl w:val="0608055F"/>
    <w:lvl w:ilvl="0" w:tentative="0">
      <w:start w:val="1"/>
      <w:numFmt w:val="upperRoman"/>
      <w:lvlText w:val="%1."/>
      <w:lvlJc w:val="left"/>
      <w:pPr>
        <w:ind w:left="1080" w:hanging="72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08253343"/>
    <w:multiLevelType w:val="multilevel"/>
    <w:tmpl w:val="08253343"/>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0C5F5665"/>
    <w:multiLevelType w:val="multilevel"/>
    <w:tmpl w:val="0C5F5665"/>
    <w:lvl w:ilvl="0" w:tentative="0">
      <w:start w:val="0"/>
      <w:numFmt w:val="bullet"/>
      <w:pStyle w:val="110"/>
      <w:lvlText w:val="●"/>
      <w:lvlJc w:val="left"/>
      <w:pPr>
        <w:ind w:left="720" w:hanging="360"/>
      </w:pPr>
      <w:rPr>
        <w:rFonts w:ascii="Noto Sans Symbols" w:hAnsi="Noto Sans Symbols" w:eastAsia="Noto Sans Symbols" w:cs="Noto Sans Symbols"/>
      </w:rPr>
    </w:lvl>
    <w:lvl w:ilvl="1" w:tentative="0">
      <w:start w:val="0"/>
      <w:numFmt w:val="bullet"/>
      <w:lvlText w:val="o"/>
      <w:lvlJc w:val="left"/>
      <w:pPr>
        <w:ind w:left="1440" w:hanging="360"/>
      </w:pPr>
      <w:rPr>
        <w:rFonts w:ascii="Courier New" w:hAnsi="Courier New" w:eastAsia="Courier New" w:cs="Courier New"/>
      </w:rPr>
    </w:lvl>
    <w:lvl w:ilvl="2" w:tentative="0">
      <w:start w:val="0"/>
      <w:numFmt w:val="bullet"/>
      <w:lvlText w:val="▪"/>
      <w:lvlJc w:val="left"/>
      <w:pPr>
        <w:ind w:left="2160" w:hanging="360"/>
      </w:pPr>
      <w:rPr>
        <w:rFonts w:ascii="Noto Sans Symbols" w:hAnsi="Noto Sans Symbols" w:eastAsia="Noto Sans Symbols" w:cs="Noto Sans Symbols"/>
      </w:rPr>
    </w:lvl>
    <w:lvl w:ilvl="3" w:tentative="0">
      <w:start w:val="0"/>
      <w:numFmt w:val="bullet"/>
      <w:lvlText w:val="●"/>
      <w:lvlJc w:val="left"/>
      <w:pPr>
        <w:ind w:left="2880" w:hanging="360"/>
      </w:pPr>
      <w:rPr>
        <w:rFonts w:ascii="Noto Sans Symbols" w:hAnsi="Noto Sans Symbols" w:eastAsia="Noto Sans Symbols" w:cs="Noto Sans Symbols"/>
      </w:rPr>
    </w:lvl>
    <w:lvl w:ilvl="4" w:tentative="0">
      <w:start w:val="0"/>
      <w:numFmt w:val="bullet"/>
      <w:lvlText w:val="o"/>
      <w:lvlJc w:val="left"/>
      <w:pPr>
        <w:ind w:left="3600" w:hanging="360"/>
      </w:pPr>
      <w:rPr>
        <w:rFonts w:ascii="Courier New" w:hAnsi="Courier New" w:eastAsia="Courier New" w:cs="Courier New"/>
      </w:rPr>
    </w:lvl>
    <w:lvl w:ilvl="5" w:tentative="0">
      <w:start w:val="0"/>
      <w:numFmt w:val="bullet"/>
      <w:lvlText w:val="▪"/>
      <w:lvlJc w:val="left"/>
      <w:pPr>
        <w:ind w:left="4320" w:hanging="360"/>
      </w:pPr>
      <w:rPr>
        <w:rFonts w:ascii="Noto Sans Symbols" w:hAnsi="Noto Sans Symbols" w:eastAsia="Noto Sans Symbols" w:cs="Noto Sans Symbols"/>
      </w:rPr>
    </w:lvl>
    <w:lvl w:ilvl="6" w:tentative="0">
      <w:start w:val="0"/>
      <w:numFmt w:val="bullet"/>
      <w:lvlText w:val="●"/>
      <w:lvlJc w:val="left"/>
      <w:pPr>
        <w:ind w:left="5040" w:hanging="360"/>
      </w:pPr>
      <w:rPr>
        <w:rFonts w:ascii="Noto Sans Symbols" w:hAnsi="Noto Sans Symbols" w:eastAsia="Noto Sans Symbols" w:cs="Noto Sans Symbols"/>
      </w:rPr>
    </w:lvl>
    <w:lvl w:ilvl="7" w:tentative="0">
      <w:start w:val="0"/>
      <w:numFmt w:val="bullet"/>
      <w:lvlText w:val="o"/>
      <w:lvlJc w:val="left"/>
      <w:pPr>
        <w:ind w:left="5760" w:hanging="360"/>
      </w:pPr>
      <w:rPr>
        <w:rFonts w:ascii="Courier New" w:hAnsi="Courier New" w:eastAsia="Courier New" w:cs="Courier New"/>
      </w:rPr>
    </w:lvl>
    <w:lvl w:ilvl="8" w:tentative="0">
      <w:start w:val="0"/>
      <w:numFmt w:val="bullet"/>
      <w:lvlText w:val="▪"/>
      <w:lvlJc w:val="left"/>
      <w:pPr>
        <w:ind w:left="6480" w:hanging="360"/>
      </w:pPr>
      <w:rPr>
        <w:rFonts w:ascii="Noto Sans Symbols" w:hAnsi="Noto Sans Symbols" w:eastAsia="Noto Sans Symbols" w:cs="Noto Sans Symbols"/>
      </w:rPr>
    </w:lvl>
  </w:abstractNum>
  <w:abstractNum w:abstractNumId="5">
    <w:nsid w:val="1A850BD9"/>
    <w:multiLevelType w:val="multilevel"/>
    <w:tmpl w:val="1A850BD9"/>
    <w:lvl w:ilvl="0" w:tentative="0">
      <w:start w:val="1"/>
      <w:numFmt w:val="lowerLetter"/>
      <w:lvlText w:val="%1)"/>
      <w:lvlJc w:val="left"/>
      <w:pPr>
        <w:ind w:left="720" w:hanging="360"/>
      </w:pPr>
      <w:rPr>
        <w:rFonts w:hint="default"/>
        <w:i/>
        <w:i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1BFE0ABA"/>
    <w:multiLevelType w:val="multilevel"/>
    <w:tmpl w:val="1BFE0ABA"/>
    <w:lvl w:ilvl="0" w:tentative="0">
      <w:start w:val="1"/>
      <w:numFmt w:val="decimal"/>
      <w:lvlText w:val="%1."/>
      <w:lvlJc w:val="left"/>
      <w:pPr>
        <w:ind w:left="360" w:hanging="360"/>
      </w:pPr>
    </w:lvl>
    <w:lvl w:ilvl="1" w:tentative="0">
      <w:start w:val="4"/>
      <w:numFmt w:val="decimal"/>
      <w:lvlText w:val="%1.%2."/>
      <w:lvlJc w:val="left"/>
      <w:pPr>
        <w:ind w:left="960" w:hanging="360"/>
      </w:pPr>
    </w:lvl>
    <w:lvl w:ilvl="2" w:tentative="0">
      <w:start w:val="1"/>
      <w:numFmt w:val="decimal"/>
      <w:lvlText w:val="%1.%2.%3."/>
      <w:lvlJc w:val="left"/>
      <w:pPr>
        <w:ind w:left="1920" w:hanging="720"/>
      </w:pPr>
    </w:lvl>
    <w:lvl w:ilvl="3" w:tentative="0">
      <w:start w:val="1"/>
      <w:numFmt w:val="decimal"/>
      <w:lvlText w:val="%1.%2.%3.%4."/>
      <w:lvlJc w:val="left"/>
      <w:pPr>
        <w:ind w:left="2520" w:hanging="720"/>
      </w:pPr>
    </w:lvl>
    <w:lvl w:ilvl="4" w:tentative="0">
      <w:start w:val="1"/>
      <w:numFmt w:val="decimal"/>
      <w:lvlText w:val="%1.%2.%3.%4.%5."/>
      <w:lvlJc w:val="left"/>
      <w:pPr>
        <w:ind w:left="3480" w:hanging="1080"/>
      </w:pPr>
    </w:lvl>
    <w:lvl w:ilvl="5" w:tentative="0">
      <w:start w:val="1"/>
      <w:numFmt w:val="decimal"/>
      <w:lvlText w:val="%1.%2.%3.%4.%5.%6."/>
      <w:lvlJc w:val="left"/>
      <w:pPr>
        <w:ind w:left="4080" w:hanging="1080"/>
      </w:pPr>
    </w:lvl>
    <w:lvl w:ilvl="6" w:tentative="0">
      <w:start w:val="1"/>
      <w:numFmt w:val="decimal"/>
      <w:lvlText w:val="%1.%2.%3.%4.%5.%6.%7."/>
      <w:lvlJc w:val="left"/>
      <w:pPr>
        <w:ind w:left="5040" w:hanging="1440"/>
      </w:pPr>
    </w:lvl>
    <w:lvl w:ilvl="7" w:tentative="0">
      <w:start w:val="1"/>
      <w:numFmt w:val="decimal"/>
      <w:lvlText w:val="%1.%2.%3.%4.%5.%6.%7.%8."/>
      <w:lvlJc w:val="left"/>
      <w:pPr>
        <w:ind w:left="5640" w:hanging="1440"/>
      </w:pPr>
    </w:lvl>
    <w:lvl w:ilvl="8" w:tentative="0">
      <w:start w:val="1"/>
      <w:numFmt w:val="decimal"/>
      <w:lvlText w:val="%1.%2.%3.%4.%5.%6.%7.%8.%9."/>
      <w:lvlJc w:val="left"/>
      <w:pPr>
        <w:ind w:left="6600" w:hanging="1800"/>
      </w:pPr>
    </w:lvl>
  </w:abstractNum>
  <w:abstractNum w:abstractNumId="7">
    <w:nsid w:val="1E4A34D9"/>
    <w:multiLevelType w:val="multilevel"/>
    <w:tmpl w:val="1E4A34D9"/>
    <w:lvl w:ilvl="0" w:tentative="0">
      <w:start w:val="6"/>
      <w:numFmt w:val="decimal"/>
      <w:lvlText w:val="%1."/>
      <w:lvlJc w:val="left"/>
      <w:pPr>
        <w:ind w:left="504" w:hanging="504"/>
      </w:pPr>
    </w:lvl>
    <w:lvl w:ilvl="1" w:tentative="0">
      <w:start w:val="2"/>
      <w:numFmt w:val="decimal"/>
      <w:lvlText w:val="%1.%2."/>
      <w:lvlJc w:val="left"/>
      <w:pPr>
        <w:ind w:left="504" w:hanging="504"/>
      </w:pPr>
    </w:lvl>
    <w:lvl w:ilvl="2" w:tentative="0">
      <w:start w:val="2"/>
      <w:numFmt w:val="decimal"/>
      <w:lvlText w:val="%1.%2.%3."/>
      <w:lvlJc w:val="left"/>
      <w:pPr>
        <w:ind w:left="720" w:hanging="720"/>
      </w:pPr>
    </w:lvl>
    <w:lvl w:ilvl="3" w:tentative="0">
      <w:start w:val="1"/>
      <w:numFmt w:val="decimal"/>
      <w:lvlText w:val="%1.%2.%3.%4."/>
      <w:lvlJc w:val="left"/>
      <w:pPr>
        <w:ind w:left="720" w:hanging="720"/>
      </w:pPr>
    </w:lvl>
    <w:lvl w:ilvl="4" w:tentative="0">
      <w:start w:val="1"/>
      <w:numFmt w:val="decimal"/>
      <w:lvlText w:val="%1.%2.%3.%4.%5."/>
      <w:lvlJc w:val="left"/>
      <w:pPr>
        <w:ind w:left="1080" w:hanging="1080"/>
      </w:pPr>
    </w:lvl>
    <w:lvl w:ilvl="5" w:tentative="0">
      <w:start w:val="1"/>
      <w:numFmt w:val="decimal"/>
      <w:lvlText w:val="%1.%2.%3.%4.%5.%6."/>
      <w:lvlJc w:val="left"/>
      <w:pPr>
        <w:ind w:left="1080" w:hanging="1080"/>
      </w:pPr>
    </w:lvl>
    <w:lvl w:ilvl="6" w:tentative="0">
      <w:start w:val="1"/>
      <w:numFmt w:val="decimal"/>
      <w:lvlText w:val="%1.%2.%3.%4.%5.%6.%7."/>
      <w:lvlJc w:val="left"/>
      <w:pPr>
        <w:ind w:left="1440" w:hanging="1440"/>
      </w:pPr>
    </w:lvl>
    <w:lvl w:ilvl="7" w:tentative="0">
      <w:start w:val="1"/>
      <w:numFmt w:val="decimal"/>
      <w:lvlText w:val="%1.%2.%3.%4.%5.%6.%7.%8."/>
      <w:lvlJc w:val="left"/>
      <w:pPr>
        <w:ind w:left="1440" w:hanging="1440"/>
      </w:pPr>
    </w:lvl>
    <w:lvl w:ilvl="8" w:tentative="0">
      <w:start w:val="1"/>
      <w:numFmt w:val="decimal"/>
      <w:lvlText w:val="%1.%2.%3.%4.%5.%6.%7.%8.%9."/>
      <w:lvlJc w:val="left"/>
      <w:pPr>
        <w:ind w:left="1440" w:hanging="1440"/>
      </w:pPr>
    </w:lvl>
  </w:abstractNum>
  <w:abstractNum w:abstractNumId="8">
    <w:nsid w:val="204648F7"/>
    <w:multiLevelType w:val="multilevel"/>
    <w:tmpl w:val="204648F7"/>
    <w:lvl w:ilvl="0" w:tentative="0">
      <w:start w:val="0"/>
      <w:numFmt w:val="bullet"/>
      <w:lvlText w:val="●"/>
      <w:lvlJc w:val="left"/>
      <w:pPr>
        <w:ind w:left="720" w:hanging="360"/>
      </w:pPr>
      <w:rPr>
        <w:rFonts w:ascii="Noto Sans Symbols" w:hAnsi="Noto Sans Symbols" w:eastAsia="Noto Sans Symbols" w:cs="Noto Sans Symbols"/>
      </w:rPr>
    </w:lvl>
    <w:lvl w:ilvl="1" w:tentative="0">
      <w:start w:val="0"/>
      <w:numFmt w:val="bullet"/>
      <w:lvlText w:val="o"/>
      <w:lvlJc w:val="left"/>
      <w:pPr>
        <w:ind w:left="1440" w:hanging="360"/>
      </w:pPr>
      <w:rPr>
        <w:rFonts w:ascii="Courier New" w:hAnsi="Courier New" w:eastAsia="Courier New" w:cs="Courier New"/>
      </w:rPr>
    </w:lvl>
    <w:lvl w:ilvl="2" w:tentative="0">
      <w:start w:val="0"/>
      <w:numFmt w:val="bullet"/>
      <w:lvlText w:val="▪"/>
      <w:lvlJc w:val="left"/>
      <w:pPr>
        <w:ind w:left="2160" w:hanging="360"/>
      </w:pPr>
      <w:rPr>
        <w:rFonts w:ascii="Noto Sans Symbols" w:hAnsi="Noto Sans Symbols" w:eastAsia="Noto Sans Symbols" w:cs="Noto Sans Symbols"/>
      </w:rPr>
    </w:lvl>
    <w:lvl w:ilvl="3" w:tentative="0">
      <w:start w:val="0"/>
      <w:numFmt w:val="bullet"/>
      <w:lvlText w:val="●"/>
      <w:lvlJc w:val="left"/>
      <w:pPr>
        <w:ind w:left="2880" w:hanging="360"/>
      </w:pPr>
      <w:rPr>
        <w:rFonts w:ascii="Noto Sans Symbols" w:hAnsi="Noto Sans Symbols" w:eastAsia="Noto Sans Symbols" w:cs="Noto Sans Symbols"/>
      </w:rPr>
    </w:lvl>
    <w:lvl w:ilvl="4" w:tentative="0">
      <w:start w:val="0"/>
      <w:numFmt w:val="bullet"/>
      <w:lvlText w:val="o"/>
      <w:lvlJc w:val="left"/>
      <w:pPr>
        <w:ind w:left="3600" w:hanging="360"/>
      </w:pPr>
      <w:rPr>
        <w:rFonts w:ascii="Courier New" w:hAnsi="Courier New" w:eastAsia="Courier New" w:cs="Courier New"/>
      </w:rPr>
    </w:lvl>
    <w:lvl w:ilvl="5" w:tentative="0">
      <w:start w:val="0"/>
      <w:numFmt w:val="bullet"/>
      <w:lvlText w:val="▪"/>
      <w:lvlJc w:val="left"/>
      <w:pPr>
        <w:ind w:left="4320" w:hanging="360"/>
      </w:pPr>
      <w:rPr>
        <w:rFonts w:ascii="Noto Sans Symbols" w:hAnsi="Noto Sans Symbols" w:eastAsia="Noto Sans Symbols" w:cs="Noto Sans Symbols"/>
      </w:rPr>
    </w:lvl>
    <w:lvl w:ilvl="6" w:tentative="0">
      <w:start w:val="0"/>
      <w:numFmt w:val="bullet"/>
      <w:lvlText w:val="●"/>
      <w:lvlJc w:val="left"/>
      <w:pPr>
        <w:ind w:left="5040" w:hanging="360"/>
      </w:pPr>
      <w:rPr>
        <w:rFonts w:ascii="Noto Sans Symbols" w:hAnsi="Noto Sans Symbols" w:eastAsia="Noto Sans Symbols" w:cs="Noto Sans Symbols"/>
      </w:rPr>
    </w:lvl>
    <w:lvl w:ilvl="7" w:tentative="0">
      <w:start w:val="0"/>
      <w:numFmt w:val="bullet"/>
      <w:lvlText w:val="o"/>
      <w:lvlJc w:val="left"/>
      <w:pPr>
        <w:ind w:left="5760" w:hanging="360"/>
      </w:pPr>
      <w:rPr>
        <w:rFonts w:ascii="Courier New" w:hAnsi="Courier New" w:eastAsia="Courier New" w:cs="Courier New"/>
      </w:rPr>
    </w:lvl>
    <w:lvl w:ilvl="8" w:tentative="0">
      <w:start w:val="0"/>
      <w:numFmt w:val="bullet"/>
      <w:lvlText w:val="▪"/>
      <w:lvlJc w:val="left"/>
      <w:pPr>
        <w:ind w:left="6480" w:hanging="360"/>
      </w:pPr>
      <w:rPr>
        <w:rFonts w:ascii="Noto Sans Symbols" w:hAnsi="Noto Sans Symbols" w:eastAsia="Noto Sans Symbols" w:cs="Noto Sans Symbols"/>
      </w:rPr>
    </w:lvl>
  </w:abstractNum>
  <w:abstractNum w:abstractNumId="9">
    <w:nsid w:val="4085681A"/>
    <w:multiLevelType w:val="multilevel"/>
    <w:tmpl w:val="4085681A"/>
    <w:lvl w:ilvl="0" w:tentative="0">
      <w:start w:val="1"/>
      <w:numFmt w:val="decimal"/>
      <w:lvlText w:val="%1."/>
      <w:lvlJc w:val="left"/>
      <w:pPr>
        <w:ind w:left="360" w:hanging="360"/>
      </w:pPr>
      <w:rPr>
        <w:b/>
      </w:rPr>
    </w:lvl>
    <w:lvl w:ilvl="1" w:tentative="0">
      <w:start w:val="1"/>
      <w:numFmt w:val="decimal"/>
      <w:lvlText w:val="%1.%2."/>
      <w:lvlJc w:val="left"/>
      <w:pPr>
        <w:ind w:left="360" w:hanging="360"/>
      </w:pPr>
      <w:rPr>
        <w:rFonts w:ascii="Times New Roman" w:hAnsi="Times New Roman" w:eastAsia="Times New Roman" w:cs="Times New Roman"/>
        <w:b w:val="0"/>
      </w:rPr>
    </w:lvl>
    <w:lvl w:ilvl="2" w:tentative="0">
      <w:start w:val="1"/>
      <w:numFmt w:val="decimal"/>
      <w:lvlText w:val="%1.%2.%3."/>
      <w:lvlJc w:val="left"/>
      <w:pPr>
        <w:ind w:left="720" w:hanging="720"/>
      </w:pPr>
    </w:lvl>
    <w:lvl w:ilvl="3" w:tentative="0">
      <w:start w:val="1"/>
      <w:numFmt w:val="decimal"/>
      <w:lvlText w:val="%1.%2.%3.%4."/>
      <w:lvlJc w:val="left"/>
      <w:pPr>
        <w:ind w:left="720" w:hanging="720"/>
      </w:pPr>
    </w:lvl>
    <w:lvl w:ilvl="4" w:tentative="0">
      <w:start w:val="1"/>
      <w:numFmt w:val="decimal"/>
      <w:lvlText w:val="%1.%2.%3.%4.%5."/>
      <w:lvlJc w:val="left"/>
      <w:pPr>
        <w:ind w:left="1080" w:hanging="1080"/>
      </w:pPr>
    </w:lvl>
    <w:lvl w:ilvl="5" w:tentative="0">
      <w:start w:val="1"/>
      <w:numFmt w:val="decimal"/>
      <w:lvlText w:val="%1.%2.%3.%4.%5.%6."/>
      <w:lvlJc w:val="left"/>
      <w:pPr>
        <w:ind w:left="1080" w:hanging="1080"/>
      </w:pPr>
    </w:lvl>
    <w:lvl w:ilvl="6" w:tentative="0">
      <w:start w:val="1"/>
      <w:numFmt w:val="decimal"/>
      <w:lvlText w:val="%1.%2.%3.%4.%5.%6.%7."/>
      <w:lvlJc w:val="left"/>
      <w:pPr>
        <w:ind w:left="1440" w:hanging="1440"/>
      </w:pPr>
    </w:lvl>
    <w:lvl w:ilvl="7" w:tentative="0">
      <w:start w:val="1"/>
      <w:numFmt w:val="decimal"/>
      <w:lvlText w:val="%1.%2.%3.%4.%5.%6.%7.%8."/>
      <w:lvlJc w:val="left"/>
      <w:pPr>
        <w:ind w:left="1440" w:hanging="1440"/>
      </w:pPr>
    </w:lvl>
    <w:lvl w:ilvl="8" w:tentative="0">
      <w:start w:val="1"/>
      <w:numFmt w:val="decimal"/>
      <w:lvlText w:val="%1.%2.%3.%4.%5.%6.%7.%8.%9."/>
      <w:lvlJc w:val="left"/>
      <w:pPr>
        <w:ind w:left="1800" w:hanging="1800"/>
      </w:pPr>
    </w:lvl>
  </w:abstractNum>
  <w:abstractNum w:abstractNumId="10">
    <w:nsid w:val="4BE14A5B"/>
    <w:multiLevelType w:val="multilevel"/>
    <w:tmpl w:val="4BE14A5B"/>
    <w:lvl w:ilvl="0" w:tentative="0">
      <w:start w:val="1"/>
      <w:numFmt w:val="decimal"/>
      <w:lvlText w:val="%1."/>
      <w:lvlJc w:val="left"/>
      <w:pPr>
        <w:ind w:left="720" w:hanging="360"/>
      </w:pPr>
    </w:lvl>
    <w:lvl w:ilvl="1" w:tentative="0">
      <w:start w:val="1"/>
      <w:numFmt w:val="decimal"/>
      <w:lvlText w:val="%1.%2."/>
      <w:lvlJc w:val="left"/>
      <w:pPr>
        <w:ind w:left="4860" w:hanging="720"/>
      </w:pPr>
    </w:lvl>
    <w:lvl w:ilvl="2" w:tentative="0">
      <w:start w:val="1"/>
      <w:numFmt w:val="decimal"/>
      <w:lvlText w:val="%1.%2.%3."/>
      <w:lvlJc w:val="left"/>
      <w:pPr>
        <w:ind w:left="2160" w:hanging="1080"/>
      </w:pPr>
    </w:lvl>
    <w:lvl w:ilvl="3" w:tentative="0">
      <w:start w:val="1"/>
      <w:numFmt w:val="decimal"/>
      <w:lvlText w:val="%1.%2.%3.%4."/>
      <w:lvlJc w:val="left"/>
      <w:pPr>
        <w:ind w:left="2520" w:hanging="1080"/>
      </w:pPr>
    </w:lvl>
    <w:lvl w:ilvl="4" w:tentative="0">
      <w:start w:val="1"/>
      <w:numFmt w:val="decimal"/>
      <w:lvlText w:val="%1.%2.%3.%4.%5."/>
      <w:lvlJc w:val="left"/>
      <w:pPr>
        <w:ind w:left="3240" w:hanging="1440"/>
      </w:pPr>
    </w:lvl>
    <w:lvl w:ilvl="5" w:tentative="0">
      <w:start w:val="1"/>
      <w:numFmt w:val="decimal"/>
      <w:lvlText w:val="%1.%2.%3.%4.%5.%6."/>
      <w:lvlJc w:val="left"/>
      <w:pPr>
        <w:ind w:left="3960" w:hanging="1800"/>
      </w:pPr>
    </w:lvl>
    <w:lvl w:ilvl="6" w:tentative="0">
      <w:start w:val="1"/>
      <w:numFmt w:val="decimal"/>
      <w:lvlText w:val="%1.%2.%3.%4.%5.%6.%7."/>
      <w:lvlJc w:val="left"/>
      <w:pPr>
        <w:ind w:left="4680" w:hanging="2160"/>
      </w:pPr>
    </w:lvl>
    <w:lvl w:ilvl="7" w:tentative="0">
      <w:start w:val="1"/>
      <w:numFmt w:val="decimal"/>
      <w:lvlText w:val="%1.%2.%3.%4.%5.%6.%7.%8."/>
      <w:lvlJc w:val="left"/>
      <w:pPr>
        <w:ind w:left="5040" w:hanging="2160"/>
      </w:pPr>
    </w:lvl>
    <w:lvl w:ilvl="8" w:tentative="0">
      <w:start w:val="1"/>
      <w:numFmt w:val="decimal"/>
      <w:lvlText w:val="%1.%2.%3.%4.%5.%6.%7.%8.%9."/>
      <w:lvlJc w:val="left"/>
      <w:pPr>
        <w:ind w:left="5760" w:hanging="2520"/>
      </w:pPr>
    </w:lvl>
  </w:abstractNum>
  <w:abstractNum w:abstractNumId="11">
    <w:nsid w:val="57A362E0"/>
    <w:multiLevelType w:val="multilevel"/>
    <w:tmpl w:val="57A362E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5A995CEA"/>
    <w:multiLevelType w:val="multilevel"/>
    <w:tmpl w:val="5A995CEA"/>
    <w:lvl w:ilvl="0" w:tentative="0">
      <w:start w:val="6"/>
      <w:numFmt w:val="decimal"/>
      <w:lvlText w:val="%1."/>
      <w:lvlJc w:val="left"/>
      <w:pPr>
        <w:ind w:left="360" w:hanging="360"/>
      </w:pPr>
      <w:rPr>
        <w:b w:val="0"/>
      </w:rPr>
    </w:lvl>
    <w:lvl w:ilvl="1" w:tentative="0">
      <w:start w:val="1"/>
      <w:numFmt w:val="decimal"/>
      <w:lvlText w:val="%1.%2."/>
      <w:lvlJc w:val="left"/>
      <w:pPr>
        <w:ind w:left="1070" w:hanging="360"/>
      </w:pPr>
      <w:rPr>
        <w:b w:val="0"/>
        <w:i w:val="0"/>
        <w:color w:val="000000"/>
      </w:rPr>
    </w:lvl>
    <w:lvl w:ilvl="2" w:tentative="0">
      <w:start w:val="1"/>
      <w:numFmt w:val="decimal"/>
      <w:lvlText w:val="%1.%2.%3."/>
      <w:lvlJc w:val="left"/>
      <w:pPr>
        <w:ind w:left="2140" w:hanging="720"/>
      </w:pPr>
      <w:rPr>
        <w:i w:val="0"/>
        <w:color w:val="000000"/>
      </w:rPr>
    </w:lvl>
    <w:lvl w:ilvl="3" w:tentative="0">
      <w:start w:val="1"/>
      <w:numFmt w:val="decimal"/>
      <w:lvlText w:val="%1.%2.%3.%4."/>
      <w:lvlJc w:val="left"/>
      <w:pPr>
        <w:ind w:left="2850" w:hanging="720"/>
      </w:pPr>
    </w:lvl>
    <w:lvl w:ilvl="4" w:tentative="0">
      <w:start w:val="1"/>
      <w:numFmt w:val="decimal"/>
      <w:lvlText w:val="%1.%2.%3.%4.%5."/>
      <w:lvlJc w:val="left"/>
      <w:pPr>
        <w:ind w:left="3920" w:hanging="1080"/>
      </w:pPr>
    </w:lvl>
    <w:lvl w:ilvl="5" w:tentative="0">
      <w:start w:val="1"/>
      <w:numFmt w:val="decimal"/>
      <w:lvlText w:val="%1.%2.%3.%4.%5.%6."/>
      <w:lvlJc w:val="left"/>
      <w:pPr>
        <w:ind w:left="4630" w:hanging="1080"/>
      </w:pPr>
    </w:lvl>
    <w:lvl w:ilvl="6" w:tentative="0">
      <w:start w:val="1"/>
      <w:numFmt w:val="decimal"/>
      <w:lvlText w:val="%1.%2.%3.%4.%5.%6.%7."/>
      <w:lvlJc w:val="left"/>
      <w:pPr>
        <w:ind w:left="5700" w:hanging="1440"/>
      </w:pPr>
    </w:lvl>
    <w:lvl w:ilvl="7" w:tentative="0">
      <w:start w:val="1"/>
      <w:numFmt w:val="decimal"/>
      <w:lvlText w:val="%1.%2.%3.%4.%5.%6.%7.%8."/>
      <w:lvlJc w:val="left"/>
      <w:pPr>
        <w:ind w:left="6410" w:hanging="1440"/>
      </w:pPr>
    </w:lvl>
    <w:lvl w:ilvl="8" w:tentative="0">
      <w:start w:val="1"/>
      <w:numFmt w:val="decimal"/>
      <w:lvlText w:val="%1.%2.%3.%4.%5.%6.%7.%8.%9."/>
      <w:lvlJc w:val="left"/>
      <w:pPr>
        <w:ind w:left="7480" w:hanging="1800"/>
      </w:pPr>
    </w:lvl>
  </w:abstractNum>
  <w:abstractNum w:abstractNumId="13">
    <w:nsid w:val="79521A03"/>
    <w:multiLevelType w:val="multilevel"/>
    <w:tmpl w:val="79521A03"/>
    <w:lvl w:ilvl="0" w:tentative="0">
      <w:start w:val="3"/>
      <w:numFmt w:val="decimal"/>
      <w:lvlText w:val="%1."/>
      <w:lvlJc w:val="left"/>
      <w:pPr>
        <w:ind w:left="360" w:hanging="360"/>
      </w:pPr>
      <w:rPr>
        <w:rFonts w:hint="default"/>
        <w:sz w:val="21"/>
      </w:rPr>
    </w:lvl>
    <w:lvl w:ilvl="1" w:tentative="0">
      <w:start w:val="1"/>
      <w:numFmt w:val="decimal"/>
      <w:lvlText w:val="%1.%2."/>
      <w:lvlJc w:val="left"/>
      <w:pPr>
        <w:ind w:left="927" w:hanging="360"/>
      </w:pPr>
      <w:rPr>
        <w:rFonts w:hint="default"/>
        <w:sz w:val="21"/>
      </w:rPr>
    </w:lvl>
    <w:lvl w:ilvl="2" w:tentative="0">
      <w:start w:val="1"/>
      <w:numFmt w:val="decimal"/>
      <w:lvlText w:val="%1.%2.%3."/>
      <w:lvlJc w:val="left"/>
      <w:pPr>
        <w:ind w:left="1854" w:hanging="720"/>
      </w:pPr>
      <w:rPr>
        <w:rFonts w:hint="default"/>
        <w:sz w:val="21"/>
      </w:rPr>
    </w:lvl>
    <w:lvl w:ilvl="3" w:tentative="0">
      <w:start w:val="1"/>
      <w:numFmt w:val="decimal"/>
      <w:lvlText w:val="%1.%2.%3.%4."/>
      <w:lvlJc w:val="left"/>
      <w:pPr>
        <w:ind w:left="2421" w:hanging="720"/>
      </w:pPr>
      <w:rPr>
        <w:rFonts w:hint="default"/>
        <w:sz w:val="21"/>
      </w:rPr>
    </w:lvl>
    <w:lvl w:ilvl="4" w:tentative="0">
      <w:start w:val="1"/>
      <w:numFmt w:val="decimal"/>
      <w:lvlText w:val="%1.%2.%3.%4.%5."/>
      <w:lvlJc w:val="left"/>
      <w:pPr>
        <w:ind w:left="3348" w:hanging="1080"/>
      </w:pPr>
      <w:rPr>
        <w:rFonts w:hint="default"/>
        <w:sz w:val="21"/>
      </w:rPr>
    </w:lvl>
    <w:lvl w:ilvl="5" w:tentative="0">
      <w:start w:val="1"/>
      <w:numFmt w:val="decimal"/>
      <w:lvlText w:val="%1.%2.%3.%4.%5.%6."/>
      <w:lvlJc w:val="left"/>
      <w:pPr>
        <w:ind w:left="3915" w:hanging="1080"/>
      </w:pPr>
      <w:rPr>
        <w:rFonts w:hint="default"/>
        <w:sz w:val="21"/>
      </w:rPr>
    </w:lvl>
    <w:lvl w:ilvl="6" w:tentative="0">
      <w:start w:val="1"/>
      <w:numFmt w:val="decimal"/>
      <w:lvlText w:val="%1.%2.%3.%4.%5.%6.%7."/>
      <w:lvlJc w:val="left"/>
      <w:pPr>
        <w:ind w:left="4842" w:hanging="1440"/>
      </w:pPr>
      <w:rPr>
        <w:rFonts w:hint="default"/>
        <w:sz w:val="21"/>
      </w:rPr>
    </w:lvl>
    <w:lvl w:ilvl="7" w:tentative="0">
      <w:start w:val="1"/>
      <w:numFmt w:val="decimal"/>
      <w:lvlText w:val="%1.%2.%3.%4.%5.%6.%7.%8."/>
      <w:lvlJc w:val="left"/>
      <w:pPr>
        <w:ind w:left="5409" w:hanging="1440"/>
      </w:pPr>
      <w:rPr>
        <w:rFonts w:hint="default"/>
        <w:sz w:val="21"/>
      </w:rPr>
    </w:lvl>
    <w:lvl w:ilvl="8" w:tentative="0">
      <w:start w:val="1"/>
      <w:numFmt w:val="decimal"/>
      <w:lvlText w:val="%1.%2.%3.%4.%5.%6.%7.%8.%9."/>
      <w:lvlJc w:val="left"/>
      <w:pPr>
        <w:ind w:left="6336" w:hanging="1800"/>
      </w:pPr>
      <w:rPr>
        <w:rFonts w:hint="default"/>
        <w:sz w:val="21"/>
      </w:rPr>
    </w:lvl>
  </w:abstractNum>
  <w:num w:numId="1">
    <w:abstractNumId w:val="4"/>
  </w:num>
  <w:num w:numId="2">
    <w:abstractNumId w:val="11"/>
  </w:num>
  <w:num w:numId="3">
    <w:abstractNumId w:val="5"/>
  </w:num>
  <w:num w:numId="4">
    <w:abstractNumId w:val="3"/>
  </w:num>
  <w:num w:numId="5">
    <w:abstractNumId w:val="9"/>
  </w:num>
  <w:num w:numId="6">
    <w:abstractNumId w:val="6"/>
  </w:num>
  <w:num w:numId="7">
    <w:abstractNumId w:val="12"/>
  </w:num>
  <w:num w:numId="8">
    <w:abstractNumId w:val="7"/>
  </w:num>
  <w:num w:numId="9">
    <w:abstractNumId w:val="13"/>
  </w:num>
  <w:num w:numId="10">
    <w:abstractNumId w:val="10"/>
  </w:num>
  <w:num w:numId="11">
    <w:abstractNumId w:val="0"/>
  </w:num>
  <w:num w:numId="12">
    <w:abstractNumId w:val="8"/>
  </w:num>
  <w:num w:numId="13">
    <w:abstractNumId w:val="1"/>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TrueTypeFonts/>
  <w:hideSpellingErrors/>
  <w:documentProtection w:enforcement="0"/>
  <w:defaultTabStop w:val="720"/>
  <w:hyphenationZone w:val="396"/>
  <w:noPunctuationKerning w:val="1"/>
  <w:characterSpacingControl w:val="doNotCompress"/>
  <w:footnotePr>
    <w:footnote w:id="6"/>
    <w:footnote w:id="7"/>
  </w:foot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A68"/>
    <w:rsid w:val="000076D5"/>
    <w:rsid w:val="00016FB9"/>
    <w:rsid w:val="00044B19"/>
    <w:rsid w:val="00055AB5"/>
    <w:rsid w:val="00060B93"/>
    <w:rsid w:val="000635DB"/>
    <w:rsid w:val="0007516D"/>
    <w:rsid w:val="00093655"/>
    <w:rsid w:val="000A1851"/>
    <w:rsid w:val="000B53EF"/>
    <w:rsid w:val="000C1DE0"/>
    <w:rsid w:val="000D3942"/>
    <w:rsid w:val="000D63DA"/>
    <w:rsid w:val="000F0D47"/>
    <w:rsid w:val="00114445"/>
    <w:rsid w:val="00126129"/>
    <w:rsid w:val="00132B97"/>
    <w:rsid w:val="001349B3"/>
    <w:rsid w:val="0013659E"/>
    <w:rsid w:val="00153E7F"/>
    <w:rsid w:val="001557AB"/>
    <w:rsid w:val="0016557D"/>
    <w:rsid w:val="00172F1D"/>
    <w:rsid w:val="001825CA"/>
    <w:rsid w:val="00194C9E"/>
    <w:rsid w:val="00195C02"/>
    <w:rsid w:val="001B0E9B"/>
    <w:rsid w:val="001C2559"/>
    <w:rsid w:val="001C3549"/>
    <w:rsid w:val="001D00D9"/>
    <w:rsid w:val="001E3F8F"/>
    <w:rsid w:val="00203967"/>
    <w:rsid w:val="0020756F"/>
    <w:rsid w:val="002147ED"/>
    <w:rsid w:val="00225459"/>
    <w:rsid w:val="00234946"/>
    <w:rsid w:val="0024495D"/>
    <w:rsid w:val="00254A82"/>
    <w:rsid w:val="00255383"/>
    <w:rsid w:val="00257882"/>
    <w:rsid w:val="002B6085"/>
    <w:rsid w:val="003001E0"/>
    <w:rsid w:val="0030103C"/>
    <w:rsid w:val="00313040"/>
    <w:rsid w:val="003154A6"/>
    <w:rsid w:val="003203DA"/>
    <w:rsid w:val="00332E1B"/>
    <w:rsid w:val="00333C54"/>
    <w:rsid w:val="00334B25"/>
    <w:rsid w:val="003455AA"/>
    <w:rsid w:val="00352D98"/>
    <w:rsid w:val="003755A6"/>
    <w:rsid w:val="00394A28"/>
    <w:rsid w:val="003A19AA"/>
    <w:rsid w:val="003B0702"/>
    <w:rsid w:val="003C7969"/>
    <w:rsid w:val="003D54A1"/>
    <w:rsid w:val="003D6BFB"/>
    <w:rsid w:val="003E466E"/>
    <w:rsid w:val="00404120"/>
    <w:rsid w:val="004101B0"/>
    <w:rsid w:val="00441C6B"/>
    <w:rsid w:val="00442BCA"/>
    <w:rsid w:val="00447D2E"/>
    <w:rsid w:val="00466E69"/>
    <w:rsid w:val="004A0665"/>
    <w:rsid w:val="004B04C8"/>
    <w:rsid w:val="004C6DBE"/>
    <w:rsid w:val="004E1DF9"/>
    <w:rsid w:val="00511F18"/>
    <w:rsid w:val="005145A0"/>
    <w:rsid w:val="00514664"/>
    <w:rsid w:val="005312EF"/>
    <w:rsid w:val="0053477F"/>
    <w:rsid w:val="00536A63"/>
    <w:rsid w:val="0056069C"/>
    <w:rsid w:val="00570ABD"/>
    <w:rsid w:val="00575AC2"/>
    <w:rsid w:val="00596DDB"/>
    <w:rsid w:val="005D0ECE"/>
    <w:rsid w:val="005E0F93"/>
    <w:rsid w:val="005E16E3"/>
    <w:rsid w:val="005E5902"/>
    <w:rsid w:val="005F7F07"/>
    <w:rsid w:val="006042A4"/>
    <w:rsid w:val="00604DBE"/>
    <w:rsid w:val="00624DDD"/>
    <w:rsid w:val="00625C8D"/>
    <w:rsid w:val="00635711"/>
    <w:rsid w:val="006375FE"/>
    <w:rsid w:val="00640A6F"/>
    <w:rsid w:val="00642452"/>
    <w:rsid w:val="006435B0"/>
    <w:rsid w:val="006568BD"/>
    <w:rsid w:val="00657B66"/>
    <w:rsid w:val="00676FF0"/>
    <w:rsid w:val="00691ED1"/>
    <w:rsid w:val="006B05CB"/>
    <w:rsid w:val="006B163D"/>
    <w:rsid w:val="006B2FE8"/>
    <w:rsid w:val="006B33C6"/>
    <w:rsid w:val="006C7183"/>
    <w:rsid w:val="006C7CCE"/>
    <w:rsid w:val="006D5EA9"/>
    <w:rsid w:val="006E326E"/>
    <w:rsid w:val="006F1F72"/>
    <w:rsid w:val="00702A1C"/>
    <w:rsid w:val="00710948"/>
    <w:rsid w:val="00727BBF"/>
    <w:rsid w:val="00731AE9"/>
    <w:rsid w:val="00736D39"/>
    <w:rsid w:val="00743479"/>
    <w:rsid w:val="007508A6"/>
    <w:rsid w:val="00763289"/>
    <w:rsid w:val="00763B2B"/>
    <w:rsid w:val="007705D9"/>
    <w:rsid w:val="00774987"/>
    <w:rsid w:val="00783EC3"/>
    <w:rsid w:val="0078571B"/>
    <w:rsid w:val="007A5137"/>
    <w:rsid w:val="007B3140"/>
    <w:rsid w:val="007B3223"/>
    <w:rsid w:val="007B413C"/>
    <w:rsid w:val="007C7417"/>
    <w:rsid w:val="007C78AE"/>
    <w:rsid w:val="007F12E7"/>
    <w:rsid w:val="007F4639"/>
    <w:rsid w:val="008070CC"/>
    <w:rsid w:val="00814CBE"/>
    <w:rsid w:val="008204AC"/>
    <w:rsid w:val="0082220A"/>
    <w:rsid w:val="0083405F"/>
    <w:rsid w:val="00847AAC"/>
    <w:rsid w:val="0085650C"/>
    <w:rsid w:val="00867A2D"/>
    <w:rsid w:val="0087253D"/>
    <w:rsid w:val="00876166"/>
    <w:rsid w:val="00876547"/>
    <w:rsid w:val="008874CD"/>
    <w:rsid w:val="0089001F"/>
    <w:rsid w:val="008A01FD"/>
    <w:rsid w:val="008C46D8"/>
    <w:rsid w:val="008D094F"/>
    <w:rsid w:val="008D0A9A"/>
    <w:rsid w:val="008D4A68"/>
    <w:rsid w:val="008D7780"/>
    <w:rsid w:val="008E3031"/>
    <w:rsid w:val="008E3E74"/>
    <w:rsid w:val="0091720A"/>
    <w:rsid w:val="00946060"/>
    <w:rsid w:val="00960305"/>
    <w:rsid w:val="00963EB3"/>
    <w:rsid w:val="0096512C"/>
    <w:rsid w:val="00971C1B"/>
    <w:rsid w:val="00977B18"/>
    <w:rsid w:val="00984A7C"/>
    <w:rsid w:val="00987237"/>
    <w:rsid w:val="009909D3"/>
    <w:rsid w:val="009951B4"/>
    <w:rsid w:val="00996638"/>
    <w:rsid w:val="009B346D"/>
    <w:rsid w:val="009B3BAF"/>
    <w:rsid w:val="009B6E8E"/>
    <w:rsid w:val="009C246F"/>
    <w:rsid w:val="009F69A9"/>
    <w:rsid w:val="00A02715"/>
    <w:rsid w:val="00A0578B"/>
    <w:rsid w:val="00A1388D"/>
    <w:rsid w:val="00A14F87"/>
    <w:rsid w:val="00A31502"/>
    <w:rsid w:val="00A40E45"/>
    <w:rsid w:val="00A51FA4"/>
    <w:rsid w:val="00A573DD"/>
    <w:rsid w:val="00A573E8"/>
    <w:rsid w:val="00A62907"/>
    <w:rsid w:val="00A66E4D"/>
    <w:rsid w:val="00A707EA"/>
    <w:rsid w:val="00A76E19"/>
    <w:rsid w:val="00A80A4B"/>
    <w:rsid w:val="00A8328B"/>
    <w:rsid w:val="00AA0DB5"/>
    <w:rsid w:val="00AA5B98"/>
    <w:rsid w:val="00AA68F6"/>
    <w:rsid w:val="00AB1183"/>
    <w:rsid w:val="00AB6AD3"/>
    <w:rsid w:val="00AC0036"/>
    <w:rsid w:val="00AC49E3"/>
    <w:rsid w:val="00AD73F3"/>
    <w:rsid w:val="00AE1A86"/>
    <w:rsid w:val="00AE3DE1"/>
    <w:rsid w:val="00AE4742"/>
    <w:rsid w:val="00B0152D"/>
    <w:rsid w:val="00B01E50"/>
    <w:rsid w:val="00B10CC8"/>
    <w:rsid w:val="00B31503"/>
    <w:rsid w:val="00B633C2"/>
    <w:rsid w:val="00B71F07"/>
    <w:rsid w:val="00B720DC"/>
    <w:rsid w:val="00BF6818"/>
    <w:rsid w:val="00C2640B"/>
    <w:rsid w:val="00C26711"/>
    <w:rsid w:val="00C44742"/>
    <w:rsid w:val="00C5019C"/>
    <w:rsid w:val="00C62BF3"/>
    <w:rsid w:val="00CB0E1B"/>
    <w:rsid w:val="00CB29E6"/>
    <w:rsid w:val="00CB524E"/>
    <w:rsid w:val="00D45C2B"/>
    <w:rsid w:val="00D50AB8"/>
    <w:rsid w:val="00D527AF"/>
    <w:rsid w:val="00D621AD"/>
    <w:rsid w:val="00D62B21"/>
    <w:rsid w:val="00D84319"/>
    <w:rsid w:val="00D86F81"/>
    <w:rsid w:val="00D87EBC"/>
    <w:rsid w:val="00D906DF"/>
    <w:rsid w:val="00DA2FC6"/>
    <w:rsid w:val="00DA693A"/>
    <w:rsid w:val="00DD29B7"/>
    <w:rsid w:val="00DD65C2"/>
    <w:rsid w:val="00DD6FB0"/>
    <w:rsid w:val="00DE2203"/>
    <w:rsid w:val="00DE2FB7"/>
    <w:rsid w:val="00DF5AA6"/>
    <w:rsid w:val="00E00F5D"/>
    <w:rsid w:val="00E016FB"/>
    <w:rsid w:val="00E14FDA"/>
    <w:rsid w:val="00E24A77"/>
    <w:rsid w:val="00E251C3"/>
    <w:rsid w:val="00EA5986"/>
    <w:rsid w:val="00F001CB"/>
    <w:rsid w:val="00F15F4A"/>
    <w:rsid w:val="00F161CD"/>
    <w:rsid w:val="00F37105"/>
    <w:rsid w:val="00F441D7"/>
    <w:rsid w:val="00F90CDB"/>
    <w:rsid w:val="00F93FDF"/>
    <w:rsid w:val="00F947CD"/>
    <w:rsid w:val="00FA14CE"/>
    <w:rsid w:val="00FA5900"/>
    <w:rsid w:val="00FB2ED1"/>
    <w:rsid w:val="00FD245D"/>
    <w:rsid w:val="00FF4A2E"/>
    <w:rsid w:val="085B67E0"/>
    <w:rsid w:val="20EE7B0A"/>
    <w:rsid w:val="3D9646D4"/>
    <w:rsid w:val="4B1E6656"/>
    <w:rsid w:val="4DBB1412"/>
    <w:rsid w:val="6A6C75A6"/>
    <w:rsid w:val="6A7512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qFormat="1"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 w:eastAsia="en-US" w:bidi="ar-SA"/>
    </w:rPr>
  </w:style>
  <w:style w:type="paragraph" w:styleId="2">
    <w:name w:val="heading 1"/>
    <w:basedOn w:val="1"/>
    <w:next w:val="1"/>
    <w:link w:val="37"/>
    <w:qFormat/>
    <w:uiPriority w:val="9"/>
    <w:pPr>
      <w:pBdr>
        <w:top w:val="none" w:color="000000" w:sz="0" w:space="0"/>
        <w:left w:val="none" w:color="000000" w:sz="0" w:space="0"/>
        <w:bottom w:val="none" w:color="000000" w:sz="0" w:space="0"/>
        <w:right w:val="none" w:color="000000" w:sz="0" w:space="0"/>
        <w:between w:val="none" w:color="000000" w:sz="0" w:space="0"/>
      </w:pBdr>
      <w:spacing w:before="280" w:after="119"/>
      <w:ind w:left="1287" w:hanging="360"/>
      <w:outlineLvl w:val="0"/>
    </w:pPr>
    <w:rPr>
      <w:b/>
      <w:sz w:val="48"/>
      <w:szCs w:val="48"/>
    </w:rPr>
  </w:style>
  <w:style w:type="paragraph" w:styleId="3">
    <w:name w:val="heading 2"/>
    <w:basedOn w:val="1"/>
    <w:next w:val="1"/>
    <w:link w:val="41"/>
    <w:unhideWhenUsed/>
    <w:qFormat/>
    <w:uiPriority w:val="9"/>
    <w:pPr>
      <w:keepNext/>
      <w:pBdr>
        <w:top w:val="none" w:color="000000" w:sz="0" w:space="0"/>
        <w:left w:val="none" w:color="000000" w:sz="0" w:space="0"/>
        <w:bottom w:val="none" w:color="000000" w:sz="0" w:space="0"/>
        <w:right w:val="none" w:color="000000" w:sz="0" w:space="0"/>
        <w:between w:val="none" w:color="000000" w:sz="0" w:space="0"/>
      </w:pBdr>
      <w:jc w:val="center"/>
      <w:outlineLvl w:val="1"/>
    </w:pPr>
    <w:rPr>
      <w:b/>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Balloon Text"/>
    <w:basedOn w:val="1"/>
    <w:link w:val="130"/>
    <w:semiHidden/>
    <w:unhideWhenUsed/>
    <w:qFormat/>
    <w:uiPriority w:val="99"/>
    <w:pPr>
      <w:autoSpaceDN w:val="0"/>
      <w:textAlignment w:val="baseline"/>
    </w:pPr>
    <w:rPr>
      <w:rFonts w:ascii="Segoe UI" w:hAnsi="Segoe UI" w:eastAsia="Calibri" w:cs="Segoe UI"/>
      <w:sz w:val="18"/>
      <w:szCs w:val="18"/>
      <w:lang w:val="lt-LT"/>
    </w:rPr>
  </w:style>
  <w:style w:type="paragraph" w:styleId="11">
    <w:name w:val="Body Text"/>
    <w:basedOn w:val="1"/>
    <w:link w:val="38"/>
    <w:unhideWhenUsed/>
    <w:qFormat/>
    <w:uiPriority w:val="0"/>
    <w:pPr>
      <w:spacing w:after="120"/>
    </w:pPr>
  </w:style>
  <w:style w:type="paragraph" w:styleId="12">
    <w:name w:val="Body Text Indent"/>
    <w:basedOn w:val="1"/>
    <w:link w:val="42"/>
    <w:semiHidden/>
    <w:unhideWhenUsed/>
    <w:qFormat/>
    <w:uiPriority w:val="0"/>
    <w:pPr>
      <w:suppressAutoHyphens/>
      <w:autoSpaceDE w:val="0"/>
      <w:spacing w:after="120"/>
      <w:ind w:left="283"/>
    </w:pPr>
    <w:rPr>
      <w:lang w:val="en-GB" w:eastAsia="ar-SA"/>
    </w:rPr>
  </w:style>
  <w:style w:type="paragraph" w:styleId="13">
    <w:name w:val="Body Text Indent 2"/>
    <w:basedOn w:val="1"/>
    <w:link w:val="44"/>
    <w:unhideWhenUsed/>
    <w:qFormat/>
    <w:uiPriority w:val="99"/>
    <w:pPr>
      <w:autoSpaceDE w:val="0"/>
      <w:autoSpaceDN w:val="0"/>
      <w:adjustRightInd w:val="0"/>
      <w:spacing w:after="120" w:line="480" w:lineRule="auto"/>
      <w:ind w:left="283"/>
    </w:pPr>
    <w:rPr>
      <w:lang w:val="en-GB"/>
    </w:rPr>
  </w:style>
  <w:style w:type="character" w:styleId="14">
    <w:name w:val="annotation reference"/>
    <w:semiHidden/>
    <w:unhideWhenUsed/>
    <w:qFormat/>
    <w:uiPriority w:val="99"/>
    <w:rPr>
      <w:sz w:val="16"/>
      <w:szCs w:val="16"/>
    </w:rPr>
  </w:style>
  <w:style w:type="paragraph" w:styleId="15">
    <w:name w:val="annotation text"/>
    <w:basedOn w:val="1"/>
    <w:link w:val="128"/>
    <w:unhideWhenUsed/>
    <w:qFormat/>
    <w:uiPriority w:val="99"/>
    <w:pPr>
      <w:autoSpaceDN w:val="0"/>
      <w:spacing w:after="160"/>
      <w:textAlignment w:val="baseline"/>
    </w:pPr>
    <w:rPr>
      <w:rFonts w:ascii="Calibri" w:hAnsi="Calibri" w:eastAsia="Calibri"/>
      <w:sz w:val="20"/>
      <w:szCs w:val="20"/>
      <w:lang w:val="lt-LT"/>
    </w:rPr>
  </w:style>
  <w:style w:type="paragraph" w:styleId="16">
    <w:name w:val="annotation subject"/>
    <w:basedOn w:val="15"/>
    <w:next w:val="15"/>
    <w:link w:val="129"/>
    <w:semiHidden/>
    <w:unhideWhenUsed/>
    <w:qFormat/>
    <w:uiPriority w:val="99"/>
    <w:rPr>
      <w:b/>
      <w:bCs/>
    </w:rPr>
  </w:style>
  <w:style w:type="paragraph" w:styleId="17">
    <w:name w:val="footer"/>
    <w:basedOn w:val="1"/>
    <w:link w:val="36"/>
    <w:unhideWhenUsed/>
    <w:qFormat/>
    <w:uiPriority w:val="99"/>
    <w:pPr>
      <w:tabs>
        <w:tab w:val="center" w:pos="4819"/>
        <w:tab w:val="right" w:pos="9638"/>
      </w:tabs>
    </w:pPr>
  </w:style>
  <w:style w:type="character" w:styleId="18">
    <w:name w:val="footnote reference"/>
    <w:semiHidden/>
    <w:unhideWhenUsed/>
    <w:qFormat/>
    <w:uiPriority w:val="99"/>
    <w:rPr>
      <w:vertAlign w:val="superscript"/>
    </w:rPr>
  </w:style>
  <w:style w:type="paragraph" w:styleId="19">
    <w:name w:val="header"/>
    <w:basedOn w:val="1"/>
    <w:link w:val="35"/>
    <w:unhideWhenUsed/>
    <w:qFormat/>
    <w:uiPriority w:val="99"/>
    <w:pPr>
      <w:tabs>
        <w:tab w:val="center" w:pos="4819"/>
        <w:tab w:val="right" w:pos="9638"/>
      </w:tabs>
    </w:pPr>
  </w:style>
  <w:style w:type="character" w:styleId="20">
    <w:name w:val="Hyperlink"/>
    <w:qFormat/>
    <w:uiPriority w:val="99"/>
    <w:rPr>
      <w:u w:val="single"/>
    </w:rPr>
  </w:style>
  <w:style w:type="character" w:styleId="21">
    <w:name w:val="line number"/>
    <w:semiHidden/>
    <w:unhideWhenUsed/>
    <w:qFormat/>
    <w:uiPriority w:val="99"/>
  </w:style>
  <w:style w:type="paragraph" w:styleId="22">
    <w:name w:val="Normal (Web)"/>
    <w:basedOn w:val="1"/>
    <w:qFormat/>
    <w:uiPriority w:val="99"/>
    <w:pPr>
      <w:suppressAutoHyphens/>
      <w:spacing w:before="280" w:after="119"/>
    </w:pPr>
    <w:rPr>
      <w:lang w:val="lt-LT" w:eastAsia="ar-SA"/>
    </w:rPr>
  </w:style>
  <w:style w:type="character" w:styleId="23">
    <w:name w:val="page number"/>
    <w:semiHidden/>
    <w:unhideWhenUsed/>
    <w:qFormat/>
    <w:uiPriority w:val="99"/>
  </w:style>
  <w:style w:type="paragraph" w:styleId="24">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25">
    <w:name w:val="Title"/>
    <w:basedOn w:val="1"/>
    <w:next w:val="1"/>
    <w:qFormat/>
    <w:uiPriority w:val="10"/>
    <w:pPr>
      <w:spacing w:line="288" w:lineRule="auto"/>
    </w:pPr>
    <w:rPr>
      <w:rFonts w:ascii="Helvetica Neue Light" w:hAnsi="Helvetica Neue Light" w:eastAsia="Helvetica Neue Light" w:cs="Helvetica Neue Light"/>
      <w:color w:val="000000"/>
      <w:sz w:val="56"/>
      <w:szCs w:val="56"/>
    </w:rPr>
  </w:style>
  <w:style w:type="paragraph" w:styleId="26">
    <w:name w:val="toc 1"/>
    <w:basedOn w:val="1"/>
    <w:next w:val="1"/>
    <w:autoRedefine/>
    <w:unhideWhenUsed/>
    <w:qFormat/>
    <w:uiPriority w:val="39"/>
    <w:pPr>
      <w:spacing w:after="100"/>
    </w:pPr>
  </w:style>
  <w:style w:type="paragraph" w:styleId="27">
    <w:name w:val="toc 2"/>
    <w:basedOn w:val="1"/>
    <w:next w:val="1"/>
    <w:autoRedefine/>
    <w:unhideWhenUsed/>
    <w:qFormat/>
    <w:uiPriority w:val="39"/>
    <w:pPr>
      <w:spacing w:after="100"/>
      <w:ind w:left="240"/>
    </w:pPr>
  </w:style>
  <w:style w:type="paragraph" w:styleId="28">
    <w:name w:val="toc 3"/>
    <w:basedOn w:val="1"/>
    <w:next w:val="1"/>
    <w:autoRedefine/>
    <w:unhideWhenUsed/>
    <w:qFormat/>
    <w:uiPriority w:val="39"/>
    <w:pPr>
      <w:spacing w:after="100"/>
      <w:ind w:left="480"/>
    </w:pPr>
  </w:style>
  <w:style w:type="table" w:customStyle="1" w:styleId="29">
    <w:name w:val="TableNormal"/>
    <w:qFormat/>
    <w:uiPriority w:val="0"/>
    <w:tblPr>
      <w:tblCellMar>
        <w:top w:w="100" w:type="dxa"/>
        <w:left w:w="100" w:type="dxa"/>
        <w:bottom w:w="100" w:type="dxa"/>
        <w:right w:w="100" w:type="dxa"/>
      </w:tblCellMar>
    </w:tblPr>
  </w:style>
  <w:style w:type="paragraph" w:customStyle="1" w:styleId="30">
    <w:name w:val="Header &amp; Footer"/>
    <w:qFormat/>
    <w:uiPriority w:val="0"/>
    <w:pPr>
      <w:tabs>
        <w:tab w:val="right" w:pos="9020"/>
      </w:tabs>
      <w:spacing w:line="288" w:lineRule="auto"/>
    </w:pPr>
    <w:rPr>
      <w:rFonts w:ascii="Helvetica Neue Medium" w:hAnsi="Helvetica Neue Medium" w:eastAsia="Times New Roman" w:cs="Arial Unicode MS"/>
      <w:color w:val="5F5F5F"/>
      <w:sz w:val="24"/>
      <w:szCs w:val="24"/>
      <w:lang w:val="en-US" w:eastAsia="en-US" w:bidi="ar-SA"/>
    </w:rPr>
  </w:style>
  <w:style w:type="paragraph" w:customStyle="1" w:styleId="31">
    <w:name w:val="Body 2"/>
    <w:qFormat/>
    <w:uiPriority w:val="0"/>
    <w:pPr>
      <w:suppressAutoHyphens/>
      <w:spacing w:after="40"/>
      <w:jc w:val="both"/>
    </w:pPr>
    <w:rPr>
      <w:rFonts w:ascii="Times New Roman" w:hAnsi="Times New Roman" w:eastAsia="Times New Roman" w:cs="Arial Unicode MS"/>
      <w:color w:val="000000"/>
      <w:sz w:val="22"/>
      <w:szCs w:val="22"/>
      <w:lang w:val="en-US" w:eastAsia="en-US" w:bidi="ar-SA"/>
    </w:rPr>
  </w:style>
  <w:style w:type="paragraph" w:customStyle="1" w:styleId="32">
    <w:name w:val="Body"/>
    <w:qFormat/>
    <w:uiPriority w:val="0"/>
    <w:pPr>
      <w:spacing w:line="312" w:lineRule="auto"/>
    </w:pPr>
    <w:rPr>
      <w:rFonts w:ascii="Helvetica Neue Light" w:hAnsi="Helvetica Neue Light" w:eastAsia="Helvetica Neue Light" w:cs="Helvetica Neue Light"/>
      <w:color w:val="000000"/>
      <w:sz w:val="24"/>
      <w:szCs w:val="24"/>
      <w:lang w:val="en" w:eastAsia="en-US" w:bidi="ar-SA"/>
    </w:rPr>
  </w:style>
  <w:style w:type="paragraph" w:customStyle="1" w:styleId="33">
    <w:name w:val="Heading"/>
    <w:next w:val="31"/>
    <w:qFormat/>
    <w:uiPriority w:val="0"/>
    <w:pPr>
      <w:outlineLvl w:val="0"/>
    </w:pPr>
    <w:rPr>
      <w:rFonts w:ascii="Times New Roman" w:hAnsi="Times New Roman" w:eastAsia="Times New Roman" w:cs="Arial Unicode MS"/>
      <w:b/>
      <w:bCs/>
      <w:caps/>
      <w:color w:val="434343"/>
      <w:spacing w:val="4"/>
      <w:sz w:val="22"/>
      <w:szCs w:val="22"/>
      <w:lang w:val="en" w:eastAsia="en-US" w:bidi="ar-SA"/>
    </w:rPr>
  </w:style>
  <w:style w:type="character" w:customStyle="1" w:styleId="34">
    <w:name w:val="Hyperlink.0"/>
    <w:basedOn w:val="20"/>
    <w:qFormat/>
    <w:uiPriority w:val="0"/>
    <w:rPr>
      <w:u w:val="single"/>
    </w:rPr>
  </w:style>
  <w:style w:type="character" w:customStyle="1" w:styleId="35">
    <w:name w:val="Header Char"/>
    <w:basedOn w:val="8"/>
    <w:link w:val="19"/>
    <w:qFormat/>
    <w:uiPriority w:val="99"/>
    <w:rPr>
      <w:sz w:val="24"/>
      <w:szCs w:val="24"/>
      <w:lang w:val="en-US" w:eastAsia="en-US"/>
    </w:rPr>
  </w:style>
  <w:style w:type="character" w:customStyle="1" w:styleId="36">
    <w:name w:val="Footer Char"/>
    <w:basedOn w:val="8"/>
    <w:link w:val="17"/>
    <w:qFormat/>
    <w:uiPriority w:val="99"/>
    <w:rPr>
      <w:sz w:val="24"/>
      <w:szCs w:val="24"/>
      <w:lang w:val="en-US" w:eastAsia="en-US"/>
    </w:rPr>
  </w:style>
  <w:style w:type="character" w:customStyle="1" w:styleId="37">
    <w:name w:val="Heading 1 Char"/>
    <w:basedOn w:val="8"/>
    <w:link w:val="2"/>
    <w:qFormat/>
    <w:uiPriority w:val="0"/>
    <w:rPr>
      <w:rFonts w:eastAsia="Times New Roman"/>
      <w:b/>
      <w:bCs/>
      <w:kern w:val="1"/>
      <w:sz w:val="48"/>
      <w:szCs w:val="48"/>
      <w:lang w:eastAsia="ar-SA"/>
    </w:rPr>
  </w:style>
  <w:style w:type="character" w:customStyle="1" w:styleId="38">
    <w:name w:val="Body Text Char"/>
    <w:basedOn w:val="8"/>
    <w:link w:val="11"/>
    <w:qFormat/>
    <w:uiPriority w:val="0"/>
    <w:rPr>
      <w:sz w:val="24"/>
      <w:szCs w:val="24"/>
      <w:lang w:val="en-US" w:eastAsia="en-US"/>
    </w:rPr>
  </w:style>
  <w:style w:type="paragraph" w:styleId="39">
    <w:name w:val="No Spacing"/>
    <w:qFormat/>
    <w:uiPriority w:val="1"/>
    <w:rPr>
      <w:rFonts w:ascii="Times New Roman" w:hAnsi="Times New Roman" w:eastAsia="Times New Roman" w:cs="Times New Roman"/>
      <w:sz w:val="24"/>
      <w:szCs w:val="24"/>
      <w:lang w:val="en-US" w:eastAsia="en-US" w:bidi="ar-SA"/>
    </w:rPr>
  </w:style>
  <w:style w:type="paragraph" w:styleId="40">
    <w:name w:val="List Paragraph"/>
    <w:basedOn w:val="1"/>
    <w:qFormat/>
    <w:uiPriority w:val="34"/>
    <w:pPr>
      <w:ind w:left="720"/>
      <w:contextualSpacing/>
    </w:pPr>
  </w:style>
  <w:style w:type="character" w:customStyle="1" w:styleId="41">
    <w:name w:val="Heading 2 Char"/>
    <w:basedOn w:val="8"/>
    <w:link w:val="3"/>
    <w:semiHidden/>
    <w:qFormat/>
    <w:uiPriority w:val="0"/>
    <w:rPr>
      <w:rFonts w:eastAsia="Times New Roman"/>
      <w:b/>
      <w:bCs/>
      <w:sz w:val="24"/>
      <w:lang w:val="en-GB" w:eastAsia="en-US"/>
    </w:rPr>
  </w:style>
  <w:style w:type="character" w:customStyle="1" w:styleId="42">
    <w:name w:val="Body Text Indent Char"/>
    <w:basedOn w:val="8"/>
    <w:link w:val="12"/>
    <w:semiHidden/>
    <w:qFormat/>
    <w:uiPriority w:val="0"/>
    <w:rPr>
      <w:rFonts w:eastAsia="Times New Roman"/>
      <w:sz w:val="24"/>
      <w:szCs w:val="24"/>
      <w:lang w:val="en-GB" w:eastAsia="ar-SA"/>
    </w:rPr>
  </w:style>
  <w:style w:type="paragraph" w:customStyle="1" w:styleId="43">
    <w:name w:val="Default"/>
    <w:qFormat/>
    <w:uiPriority w:val="0"/>
    <w:pPr>
      <w:autoSpaceDE w:val="0"/>
      <w:autoSpaceDN w:val="0"/>
      <w:adjustRightInd w:val="0"/>
    </w:pPr>
    <w:rPr>
      <w:rFonts w:ascii="Times New Roman" w:hAnsi="Times New Roman" w:eastAsia="Times New Roman" w:cs="Times New Roman"/>
      <w:color w:val="000000"/>
      <w:sz w:val="24"/>
      <w:szCs w:val="24"/>
      <w:lang w:val="en-US" w:eastAsia="en-US" w:bidi="ar-SA"/>
    </w:rPr>
  </w:style>
  <w:style w:type="character" w:customStyle="1" w:styleId="44">
    <w:name w:val="Body Text Indent 2 Char"/>
    <w:basedOn w:val="8"/>
    <w:link w:val="13"/>
    <w:qFormat/>
    <w:uiPriority w:val="99"/>
    <w:rPr>
      <w:rFonts w:eastAsia="Times New Roman"/>
      <w:sz w:val="24"/>
      <w:szCs w:val="24"/>
      <w:lang w:val="en-GB" w:eastAsia="en-US"/>
    </w:rPr>
  </w:style>
  <w:style w:type="paragraph" w:customStyle="1" w:styleId="45">
    <w:name w:val="Įprastasis1"/>
    <w:qFormat/>
    <w:uiPriority w:val="0"/>
    <w:pPr>
      <w:suppressAutoHyphens/>
      <w:autoSpaceDN w:val="0"/>
      <w:textAlignment w:val="baseline"/>
    </w:pPr>
    <w:rPr>
      <w:rFonts w:ascii="Times New Roman" w:hAnsi="Times New Roman" w:eastAsia="Times New Roman" w:cs="Times New Roman"/>
      <w:sz w:val="24"/>
      <w:szCs w:val="24"/>
      <w:lang w:val="en" w:eastAsia="en-US" w:bidi="ar-SA"/>
    </w:rPr>
  </w:style>
  <w:style w:type="paragraph" w:customStyle="1" w:styleId="46">
    <w:name w:val="Antraštė 11"/>
    <w:basedOn w:val="45"/>
    <w:next w:val="45"/>
    <w:qFormat/>
    <w:uiPriority w:val="0"/>
    <w:pPr>
      <w:keepNext/>
      <w:keepLines/>
      <w:spacing w:before="360" w:after="80"/>
      <w:outlineLvl w:val="0"/>
    </w:pPr>
    <w:rPr>
      <w:rFonts w:ascii="Calibri Light" w:hAnsi="Calibri Light"/>
      <w:color w:val="2E74B5"/>
      <w:sz w:val="40"/>
      <w:szCs w:val="40"/>
    </w:rPr>
  </w:style>
  <w:style w:type="paragraph" w:customStyle="1" w:styleId="47">
    <w:name w:val="Antraštė 21"/>
    <w:basedOn w:val="45"/>
    <w:next w:val="45"/>
    <w:qFormat/>
    <w:uiPriority w:val="0"/>
    <w:pPr>
      <w:keepNext/>
      <w:keepLines/>
      <w:spacing w:before="160" w:after="80"/>
      <w:outlineLvl w:val="1"/>
    </w:pPr>
    <w:rPr>
      <w:rFonts w:ascii="Calibri Light" w:hAnsi="Calibri Light"/>
      <w:color w:val="2E74B5"/>
      <w:sz w:val="32"/>
      <w:szCs w:val="32"/>
    </w:rPr>
  </w:style>
  <w:style w:type="paragraph" w:customStyle="1" w:styleId="48">
    <w:name w:val="Antraštė 31"/>
    <w:basedOn w:val="45"/>
    <w:next w:val="45"/>
    <w:qFormat/>
    <w:uiPriority w:val="0"/>
    <w:pPr>
      <w:keepNext/>
      <w:keepLines/>
      <w:spacing w:before="160" w:after="80"/>
      <w:outlineLvl w:val="2"/>
    </w:pPr>
    <w:rPr>
      <w:color w:val="2E74B5"/>
      <w:sz w:val="28"/>
      <w:szCs w:val="28"/>
    </w:rPr>
  </w:style>
  <w:style w:type="paragraph" w:customStyle="1" w:styleId="49">
    <w:name w:val="Antraštė 41"/>
    <w:basedOn w:val="45"/>
    <w:next w:val="45"/>
    <w:qFormat/>
    <w:uiPriority w:val="0"/>
    <w:pPr>
      <w:keepNext/>
      <w:keepLines/>
      <w:spacing w:before="80" w:after="40"/>
      <w:outlineLvl w:val="3"/>
    </w:pPr>
    <w:rPr>
      <w:i/>
      <w:iCs/>
      <w:color w:val="2E74B5"/>
    </w:rPr>
  </w:style>
  <w:style w:type="paragraph" w:customStyle="1" w:styleId="50">
    <w:name w:val="Antraštė 51"/>
    <w:basedOn w:val="45"/>
    <w:next w:val="45"/>
    <w:qFormat/>
    <w:uiPriority w:val="0"/>
    <w:pPr>
      <w:keepNext/>
      <w:keepLines/>
      <w:spacing w:before="80" w:after="40"/>
      <w:outlineLvl w:val="4"/>
    </w:pPr>
    <w:rPr>
      <w:color w:val="2E74B5"/>
    </w:rPr>
  </w:style>
  <w:style w:type="paragraph" w:customStyle="1" w:styleId="51">
    <w:name w:val="Antraštė 61"/>
    <w:basedOn w:val="45"/>
    <w:next w:val="45"/>
    <w:qFormat/>
    <w:uiPriority w:val="0"/>
    <w:pPr>
      <w:keepNext/>
      <w:keepLines/>
      <w:spacing w:before="40"/>
      <w:outlineLvl w:val="5"/>
    </w:pPr>
    <w:rPr>
      <w:i/>
      <w:iCs/>
      <w:color w:val="595959"/>
    </w:rPr>
  </w:style>
  <w:style w:type="paragraph" w:customStyle="1" w:styleId="52">
    <w:name w:val="Antraštė 71"/>
    <w:basedOn w:val="45"/>
    <w:next w:val="45"/>
    <w:qFormat/>
    <w:uiPriority w:val="0"/>
    <w:pPr>
      <w:keepNext/>
      <w:keepLines/>
      <w:spacing w:before="40"/>
      <w:outlineLvl w:val="6"/>
    </w:pPr>
    <w:rPr>
      <w:color w:val="595959"/>
    </w:rPr>
  </w:style>
  <w:style w:type="paragraph" w:customStyle="1" w:styleId="53">
    <w:name w:val="Antraštė 81"/>
    <w:basedOn w:val="45"/>
    <w:next w:val="45"/>
    <w:qFormat/>
    <w:uiPriority w:val="0"/>
    <w:pPr>
      <w:keepNext/>
      <w:keepLines/>
      <w:outlineLvl w:val="7"/>
    </w:pPr>
    <w:rPr>
      <w:i/>
      <w:iCs/>
      <w:color w:val="272727"/>
    </w:rPr>
  </w:style>
  <w:style w:type="paragraph" w:customStyle="1" w:styleId="54">
    <w:name w:val="Antraštė 91"/>
    <w:basedOn w:val="45"/>
    <w:next w:val="45"/>
    <w:qFormat/>
    <w:uiPriority w:val="0"/>
    <w:pPr>
      <w:keepNext/>
      <w:keepLines/>
      <w:outlineLvl w:val="8"/>
    </w:pPr>
    <w:rPr>
      <w:color w:val="272727"/>
    </w:rPr>
  </w:style>
  <w:style w:type="character" w:customStyle="1" w:styleId="55">
    <w:name w:val="Numatytasis pastraipos šriftas1"/>
    <w:qFormat/>
    <w:uiPriority w:val="0"/>
  </w:style>
  <w:style w:type="character" w:customStyle="1" w:styleId="56">
    <w:name w:val="Antraštė 3 Diagrama"/>
    <w:qFormat/>
    <w:uiPriority w:val="0"/>
    <w:rPr>
      <w:rFonts w:ascii="Times New Roman" w:hAnsi="Times New Roman" w:eastAsia="Times New Roman" w:cs="Times New Roman"/>
      <w:color w:val="2E74B5"/>
      <w:sz w:val="28"/>
      <w:szCs w:val="28"/>
    </w:rPr>
  </w:style>
  <w:style w:type="character" w:customStyle="1" w:styleId="57">
    <w:name w:val="Antraštė 4 Diagrama"/>
    <w:qFormat/>
    <w:uiPriority w:val="0"/>
    <w:rPr>
      <w:rFonts w:ascii="Times New Roman" w:hAnsi="Times New Roman" w:eastAsia="Times New Roman" w:cs="Times New Roman"/>
      <w:i/>
      <w:iCs/>
      <w:color w:val="2E74B5"/>
      <w:sz w:val="24"/>
      <w:szCs w:val="24"/>
    </w:rPr>
  </w:style>
  <w:style w:type="character" w:customStyle="1" w:styleId="58">
    <w:name w:val="Antraštė 5 Diagrama"/>
    <w:qFormat/>
    <w:uiPriority w:val="0"/>
    <w:rPr>
      <w:rFonts w:ascii="Times New Roman" w:hAnsi="Times New Roman" w:eastAsia="Times New Roman" w:cs="Times New Roman"/>
      <w:color w:val="2E74B5"/>
      <w:sz w:val="24"/>
      <w:szCs w:val="24"/>
    </w:rPr>
  </w:style>
  <w:style w:type="character" w:customStyle="1" w:styleId="59">
    <w:name w:val="Antraštė 6 Diagrama"/>
    <w:qFormat/>
    <w:uiPriority w:val="0"/>
    <w:rPr>
      <w:rFonts w:ascii="Times New Roman" w:hAnsi="Times New Roman" w:eastAsia="Times New Roman" w:cs="Times New Roman"/>
      <w:i/>
      <w:iCs/>
      <w:color w:val="595959"/>
      <w:sz w:val="24"/>
      <w:szCs w:val="24"/>
    </w:rPr>
  </w:style>
  <w:style w:type="character" w:customStyle="1" w:styleId="60">
    <w:name w:val="Antraštė 7 Diagrama"/>
    <w:qFormat/>
    <w:uiPriority w:val="0"/>
    <w:rPr>
      <w:rFonts w:ascii="Times New Roman" w:hAnsi="Times New Roman" w:eastAsia="Times New Roman" w:cs="Times New Roman"/>
      <w:color w:val="595959"/>
      <w:sz w:val="24"/>
      <w:szCs w:val="24"/>
    </w:rPr>
  </w:style>
  <w:style w:type="character" w:customStyle="1" w:styleId="61">
    <w:name w:val="Antraštė 8 Diagrama"/>
    <w:qFormat/>
    <w:uiPriority w:val="0"/>
    <w:rPr>
      <w:rFonts w:ascii="Times New Roman" w:hAnsi="Times New Roman" w:eastAsia="Times New Roman" w:cs="Times New Roman"/>
      <w:i/>
      <w:iCs/>
      <w:color w:val="272727"/>
      <w:sz w:val="24"/>
      <w:szCs w:val="24"/>
    </w:rPr>
  </w:style>
  <w:style w:type="character" w:customStyle="1" w:styleId="62">
    <w:name w:val="Antraštė 9 Diagrama"/>
    <w:qFormat/>
    <w:uiPriority w:val="0"/>
    <w:rPr>
      <w:rFonts w:ascii="Times New Roman" w:hAnsi="Times New Roman" w:eastAsia="Times New Roman" w:cs="Times New Roman"/>
      <w:color w:val="272727"/>
      <w:sz w:val="24"/>
      <w:szCs w:val="24"/>
    </w:rPr>
  </w:style>
  <w:style w:type="paragraph" w:customStyle="1" w:styleId="63">
    <w:name w:val="Pavadinimas1"/>
    <w:basedOn w:val="45"/>
    <w:next w:val="45"/>
    <w:qFormat/>
    <w:uiPriority w:val="0"/>
    <w:pPr>
      <w:spacing w:after="80"/>
    </w:pPr>
    <w:rPr>
      <w:rFonts w:ascii="Calibri Light" w:hAnsi="Calibri Light"/>
      <w:spacing w:val="-10"/>
      <w:kern w:val="3"/>
      <w:sz w:val="56"/>
      <w:szCs w:val="56"/>
    </w:rPr>
  </w:style>
  <w:style w:type="character" w:customStyle="1" w:styleId="64">
    <w:name w:val="Pavadinimas Diagrama"/>
    <w:qFormat/>
    <w:uiPriority w:val="0"/>
    <w:rPr>
      <w:rFonts w:ascii="Calibri Light" w:hAnsi="Calibri Light" w:eastAsia="Times New Roman" w:cs="Times New Roman"/>
      <w:spacing w:val="-10"/>
      <w:kern w:val="3"/>
      <w:sz w:val="56"/>
      <w:szCs w:val="56"/>
    </w:rPr>
  </w:style>
  <w:style w:type="paragraph" w:customStyle="1" w:styleId="65">
    <w:name w:val="Paantraštė1"/>
    <w:basedOn w:val="45"/>
    <w:next w:val="45"/>
    <w:qFormat/>
    <w:uiPriority w:val="0"/>
    <w:rPr>
      <w:color w:val="595959"/>
      <w:spacing w:val="15"/>
      <w:sz w:val="28"/>
      <w:szCs w:val="28"/>
    </w:rPr>
  </w:style>
  <w:style w:type="character" w:customStyle="1" w:styleId="66">
    <w:name w:val="Paantraštė Diagrama"/>
    <w:qFormat/>
    <w:uiPriority w:val="0"/>
    <w:rPr>
      <w:rFonts w:ascii="Times New Roman" w:hAnsi="Times New Roman" w:eastAsia="Times New Roman" w:cs="Times New Roman"/>
      <w:color w:val="595959"/>
      <w:spacing w:val="15"/>
      <w:sz w:val="28"/>
      <w:szCs w:val="28"/>
    </w:rPr>
  </w:style>
  <w:style w:type="paragraph" w:customStyle="1" w:styleId="67">
    <w:name w:val="Citata1"/>
    <w:basedOn w:val="45"/>
    <w:next w:val="45"/>
    <w:qFormat/>
    <w:uiPriority w:val="0"/>
    <w:pPr>
      <w:spacing w:before="160"/>
      <w:jc w:val="center"/>
    </w:pPr>
    <w:rPr>
      <w:i/>
      <w:iCs/>
      <w:color w:val="404040"/>
    </w:rPr>
  </w:style>
  <w:style w:type="character" w:customStyle="1" w:styleId="68">
    <w:name w:val="Citata Diagrama"/>
    <w:qFormat/>
    <w:uiPriority w:val="0"/>
    <w:rPr>
      <w:rFonts w:ascii="Times New Roman" w:hAnsi="Times New Roman" w:eastAsia="Times New Roman" w:cs="Times New Roman"/>
      <w:i/>
      <w:iCs/>
      <w:color w:val="404040"/>
      <w:sz w:val="24"/>
      <w:szCs w:val="24"/>
    </w:rPr>
  </w:style>
  <w:style w:type="paragraph" w:customStyle="1" w:styleId="69">
    <w:name w:val="Sąrašo pastraipa1"/>
    <w:basedOn w:val="45"/>
    <w:qFormat/>
    <w:uiPriority w:val="0"/>
    <w:pPr>
      <w:ind w:left="720"/>
    </w:pPr>
  </w:style>
  <w:style w:type="character" w:customStyle="1" w:styleId="70">
    <w:name w:val="Ryškus pabraukimas1"/>
    <w:qFormat/>
    <w:uiPriority w:val="0"/>
    <w:rPr>
      <w:i/>
      <w:iCs/>
      <w:color w:val="2E74B5"/>
    </w:rPr>
  </w:style>
  <w:style w:type="paragraph" w:customStyle="1" w:styleId="71">
    <w:name w:val="Išskirta citata1"/>
    <w:basedOn w:val="45"/>
    <w:next w:val="45"/>
    <w:qFormat/>
    <w:uiPriority w:val="0"/>
    <w:pPr>
      <w:pBdr>
        <w:top w:val="single" w:color="2E74B5" w:sz="4" w:space="10"/>
        <w:bottom w:val="single" w:color="2E74B5" w:sz="4" w:space="10"/>
      </w:pBdr>
      <w:spacing w:before="360" w:after="360"/>
      <w:ind w:left="864" w:right="864"/>
      <w:jc w:val="center"/>
    </w:pPr>
    <w:rPr>
      <w:i/>
      <w:iCs/>
      <w:color w:val="2E74B5"/>
    </w:rPr>
  </w:style>
  <w:style w:type="character" w:customStyle="1" w:styleId="72">
    <w:name w:val="Išskirta citata Diagrama"/>
    <w:qFormat/>
    <w:uiPriority w:val="0"/>
    <w:rPr>
      <w:rFonts w:ascii="Times New Roman" w:hAnsi="Times New Roman" w:eastAsia="Times New Roman" w:cs="Times New Roman"/>
      <w:i/>
      <w:iCs/>
      <w:color w:val="2E74B5"/>
      <w:sz w:val="24"/>
      <w:szCs w:val="24"/>
    </w:rPr>
  </w:style>
  <w:style w:type="character" w:customStyle="1" w:styleId="73">
    <w:name w:val="Ryški nuoroda1"/>
    <w:qFormat/>
    <w:uiPriority w:val="0"/>
    <w:rPr>
      <w:b/>
      <w:bCs/>
      <w:smallCaps/>
      <w:color w:val="2E74B5"/>
      <w:spacing w:val="5"/>
    </w:rPr>
  </w:style>
  <w:style w:type="character" w:customStyle="1" w:styleId="74">
    <w:name w:val="Hipersaitas1"/>
    <w:qFormat/>
    <w:uiPriority w:val="0"/>
    <w:rPr>
      <w:color w:val="auto"/>
      <w:u w:val="none"/>
    </w:rPr>
  </w:style>
  <w:style w:type="paragraph" w:customStyle="1" w:styleId="75">
    <w:name w:val="Puslapio išnašos tekstas1"/>
    <w:basedOn w:val="45"/>
    <w:qFormat/>
    <w:uiPriority w:val="0"/>
    <w:pPr>
      <w:spacing w:after="160" w:line="276" w:lineRule="auto"/>
      <w:textAlignment w:val="auto"/>
    </w:pPr>
    <w:rPr>
      <w:rFonts w:ascii="Calibri" w:hAnsi="Calibri"/>
      <w:sz w:val="20"/>
      <w:szCs w:val="20"/>
    </w:rPr>
  </w:style>
  <w:style w:type="character" w:customStyle="1" w:styleId="76">
    <w:name w:val="Puslapio išnašos tekstas Diagrama"/>
    <w:qFormat/>
    <w:uiPriority w:val="0"/>
    <w:rPr>
      <w:rFonts w:ascii="Calibri" w:hAnsi="Calibri" w:eastAsia="Times New Roman" w:cs="Times New Roman"/>
      <w:sz w:val="20"/>
      <w:szCs w:val="20"/>
      <w:lang w:eastAsia="lt-LT"/>
    </w:rPr>
  </w:style>
  <w:style w:type="paragraph" w:customStyle="1" w:styleId="77">
    <w:name w:val="Komentaro tekstas1"/>
    <w:basedOn w:val="45"/>
    <w:qFormat/>
    <w:uiPriority w:val="0"/>
    <w:pPr>
      <w:spacing w:after="160" w:line="276" w:lineRule="auto"/>
      <w:textAlignment w:val="auto"/>
    </w:pPr>
    <w:rPr>
      <w:rFonts w:ascii="Calibri" w:hAnsi="Calibri"/>
      <w:sz w:val="20"/>
      <w:szCs w:val="20"/>
    </w:rPr>
  </w:style>
  <w:style w:type="character" w:customStyle="1" w:styleId="78">
    <w:name w:val="Komentaro tekstas Diagrama"/>
    <w:qFormat/>
    <w:uiPriority w:val="0"/>
    <w:rPr>
      <w:rFonts w:ascii="Calibri" w:hAnsi="Calibri" w:eastAsia="Times New Roman" w:cs="Times New Roman"/>
      <w:sz w:val="20"/>
      <w:szCs w:val="20"/>
      <w:lang w:eastAsia="lt-LT"/>
    </w:rPr>
  </w:style>
  <w:style w:type="character" w:customStyle="1" w:styleId="79">
    <w:name w:val="Sąrašo pastraipa Diagrama"/>
    <w:qFormat/>
    <w:uiPriority w:val="0"/>
  </w:style>
  <w:style w:type="character" w:customStyle="1" w:styleId="80">
    <w:name w:val="Puslapio išnašos nuoroda1"/>
    <w:qFormat/>
    <w:uiPriority w:val="0"/>
    <w:rPr>
      <w:position w:val="0"/>
      <w:vertAlign w:val="superscript"/>
    </w:rPr>
  </w:style>
  <w:style w:type="character" w:customStyle="1" w:styleId="81">
    <w:name w:val="Komentaro nuoroda1"/>
    <w:qFormat/>
    <w:uiPriority w:val="0"/>
    <w:rPr>
      <w:sz w:val="16"/>
      <w:szCs w:val="16"/>
    </w:rPr>
  </w:style>
  <w:style w:type="paragraph" w:customStyle="1" w:styleId="82">
    <w:name w:val="Debesėlio tekstas1"/>
    <w:basedOn w:val="45"/>
    <w:qFormat/>
    <w:uiPriority w:val="0"/>
    <w:pPr>
      <w:spacing w:after="160" w:line="276" w:lineRule="auto"/>
      <w:textAlignment w:val="auto"/>
    </w:pPr>
    <w:rPr>
      <w:rFonts w:ascii="Segoe UI" w:hAnsi="Segoe UI" w:cs="Segoe UI"/>
      <w:sz w:val="18"/>
      <w:szCs w:val="18"/>
    </w:rPr>
  </w:style>
  <w:style w:type="character" w:customStyle="1" w:styleId="83">
    <w:name w:val="Debesėlio tekstas Diagrama"/>
    <w:qFormat/>
    <w:uiPriority w:val="0"/>
    <w:rPr>
      <w:rFonts w:ascii="Segoe UI" w:hAnsi="Segoe UI" w:eastAsia="Times New Roman" w:cs="Segoe UI"/>
      <w:sz w:val="18"/>
      <w:szCs w:val="18"/>
      <w:lang w:eastAsia="lt-LT"/>
    </w:rPr>
  </w:style>
  <w:style w:type="character" w:customStyle="1" w:styleId="84">
    <w:name w:val="Unresolved Mention1"/>
    <w:qFormat/>
    <w:uiPriority w:val="0"/>
    <w:rPr>
      <w:color w:val="808080"/>
      <w:shd w:val="clear" w:color="auto" w:fill="E6E6E6"/>
    </w:rPr>
  </w:style>
  <w:style w:type="paragraph" w:customStyle="1" w:styleId="85">
    <w:name w:val="Komentaro tema1"/>
    <w:basedOn w:val="77"/>
    <w:next w:val="77"/>
    <w:qFormat/>
    <w:uiPriority w:val="0"/>
    <w:rPr>
      <w:b/>
      <w:bCs/>
    </w:rPr>
  </w:style>
  <w:style w:type="character" w:customStyle="1" w:styleId="86">
    <w:name w:val="Komentaro tema Diagrama"/>
    <w:qFormat/>
    <w:uiPriority w:val="0"/>
    <w:rPr>
      <w:rFonts w:ascii="Calibri" w:hAnsi="Calibri" w:eastAsia="Times New Roman" w:cs="Times New Roman"/>
      <w:b/>
      <w:bCs/>
      <w:sz w:val="20"/>
      <w:szCs w:val="20"/>
      <w:lang w:eastAsia="lt-LT"/>
    </w:rPr>
  </w:style>
  <w:style w:type="paragraph" w:customStyle="1" w:styleId="87">
    <w:name w:val="Įprastas (žiniatinklio)1"/>
    <w:basedOn w:val="45"/>
    <w:qFormat/>
    <w:uiPriority w:val="0"/>
    <w:pPr>
      <w:spacing w:before="100" w:after="100" w:line="276" w:lineRule="auto"/>
      <w:textAlignment w:val="auto"/>
    </w:pPr>
    <w:rPr>
      <w:rFonts w:ascii="Calibri" w:hAnsi="Calibri"/>
      <w:sz w:val="21"/>
      <w:szCs w:val="21"/>
    </w:rPr>
  </w:style>
  <w:style w:type="character" w:customStyle="1" w:styleId="88">
    <w:name w:val="pildymui"/>
    <w:qFormat/>
    <w:uiPriority w:val="0"/>
  </w:style>
  <w:style w:type="paragraph" w:customStyle="1" w:styleId="89">
    <w:name w:val="Pagrindinis tekstas1"/>
    <w:basedOn w:val="45"/>
    <w:qFormat/>
    <w:uiPriority w:val="0"/>
    <w:pPr>
      <w:spacing w:after="160" w:line="276" w:lineRule="auto"/>
      <w:ind w:firstLine="567"/>
      <w:jc w:val="both"/>
      <w:textAlignment w:val="auto"/>
    </w:pPr>
    <w:rPr>
      <w:rFonts w:ascii="Calibri" w:hAnsi="Calibri"/>
      <w:sz w:val="21"/>
      <w:szCs w:val="20"/>
    </w:rPr>
  </w:style>
  <w:style w:type="character" w:customStyle="1" w:styleId="90">
    <w:name w:val="Internet link"/>
    <w:qFormat/>
    <w:uiPriority w:val="0"/>
    <w:rPr>
      <w:color w:val="000080"/>
      <w:u w:val="single"/>
    </w:rPr>
  </w:style>
  <w:style w:type="paragraph" w:customStyle="1" w:styleId="91">
    <w:name w:val="Antraštės1"/>
    <w:basedOn w:val="45"/>
    <w:qFormat/>
    <w:uiPriority w:val="0"/>
    <w:pPr>
      <w:tabs>
        <w:tab w:val="center" w:pos="4513"/>
        <w:tab w:val="right" w:pos="9026"/>
      </w:tabs>
      <w:spacing w:after="160" w:line="276" w:lineRule="auto"/>
      <w:textAlignment w:val="auto"/>
    </w:pPr>
    <w:rPr>
      <w:rFonts w:ascii="Calibri" w:hAnsi="Calibri"/>
      <w:sz w:val="21"/>
      <w:szCs w:val="21"/>
    </w:rPr>
  </w:style>
  <w:style w:type="paragraph" w:customStyle="1" w:styleId="92">
    <w:name w:val="Poraštė1"/>
    <w:basedOn w:val="45"/>
    <w:qFormat/>
    <w:uiPriority w:val="0"/>
    <w:pPr>
      <w:tabs>
        <w:tab w:val="center" w:pos="4513"/>
        <w:tab w:val="right" w:pos="9026"/>
      </w:tabs>
      <w:spacing w:after="160" w:line="276" w:lineRule="auto"/>
      <w:textAlignment w:val="auto"/>
    </w:pPr>
    <w:rPr>
      <w:rFonts w:ascii="Calibri" w:hAnsi="Calibri"/>
      <w:sz w:val="21"/>
      <w:szCs w:val="21"/>
    </w:rPr>
  </w:style>
  <w:style w:type="paragraph" w:customStyle="1" w:styleId="93">
    <w:name w:val="Pataisymai1"/>
    <w:qFormat/>
    <w:uiPriority w:val="0"/>
    <w:pPr>
      <w:suppressAutoHyphens/>
      <w:autoSpaceDN w:val="0"/>
      <w:textAlignment w:val="baseline"/>
    </w:pPr>
    <w:rPr>
      <w:rFonts w:ascii="Times New Roman" w:hAnsi="Times New Roman" w:eastAsia="Times New Roman" w:cs="Times New Roman"/>
      <w:sz w:val="24"/>
      <w:szCs w:val="24"/>
      <w:lang w:val="en" w:eastAsia="en-US" w:bidi="ar-SA"/>
    </w:rPr>
  </w:style>
  <w:style w:type="character" w:customStyle="1" w:styleId="94">
    <w:name w:val="Neryškus pabraukimas1"/>
    <w:qFormat/>
    <w:uiPriority w:val="0"/>
    <w:rPr>
      <w:i/>
      <w:iCs/>
      <w:color w:val="595959"/>
    </w:rPr>
  </w:style>
  <w:style w:type="paragraph" w:customStyle="1" w:styleId="95">
    <w:name w:val="Antraštė1"/>
    <w:basedOn w:val="45"/>
    <w:next w:val="45"/>
    <w:qFormat/>
    <w:uiPriority w:val="0"/>
    <w:pPr>
      <w:spacing w:after="160"/>
      <w:textAlignment w:val="auto"/>
    </w:pPr>
    <w:rPr>
      <w:rFonts w:ascii="Calibri" w:hAnsi="Calibri"/>
      <w:b/>
      <w:bCs/>
      <w:color w:val="404040"/>
      <w:sz w:val="16"/>
      <w:szCs w:val="16"/>
    </w:rPr>
  </w:style>
  <w:style w:type="character" w:customStyle="1" w:styleId="96">
    <w:name w:val="Griežtas1"/>
    <w:qFormat/>
    <w:uiPriority w:val="0"/>
    <w:rPr>
      <w:b/>
      <w:bCs/>
    </w:rPr>
  </w:style>
  <w:style w:type="character" w:customStyle="1" w:styleId="97">
    <w:name w:val="Emfazė1"/>
    <w:qFormat/>
    <w:uiPriority w:val="0"/>
    <w:rPr>
      <w:i/>
      <w:iCs/>
      <w:color w:val="000000"/>
    </w:rPr>
  </w:style>
  <w:style w:type="paragraph" w:customStyle="1" w:styleId="98">
    <w:name w:val="Be tarpų1"/>
    <w:qFormat/>
    <w:uiPriority w:val="0"/>
    <w:pPr>
      <w:suppressAutoHyphens/>
      <w:autoSpaceDN w:val="0"/>
      <w:textAlignment w:val="baseline"/>
    </w:pPr>
    <w:rPr>
      <w:rFonts w:ascii="Calibri" w:hAnsi="Calibri" w:eastAsia="Times New Roman" w:cs="Times New Roman"/>
      <w:sz w:val="21"/>
      <w:szCs w:val="21"/>
      <w:lang w:val="en" w:eastAsia="en-US" w:bidi="ar-SA"/>
    </w:rPr>
  </w:style>
  <w:style w:type="character" w:customStyle="1" w:styleId="99">
    <w:name w:val="Neryški nuoroda1"/>
    <w:qFormat/>
    <w:uiPriority w:val="0"/>
    <w:rPr>
      <w:color w:val="404040"/>
      <w:spacing w:val="0"/>
      <w:u w:val="single" w:color="7F7F7F"/>
    </w:rPr>
  </w:style>
  <w:style w:type="character" w:customStyle="1" w:styleId="100">
    <w:name w:val="Knygos pavadinimas1"/>
    <w:qFormat/>
    <w:uiPriority w:val="0"/>
    <w:rPr>
      <w:b/>
      <w:bCs/>
      <w:spacing w:val="0"/>
    </w:rPr>
  </w:style>
  <w:style w:type="paragraph" w:customStyle="1" w:styleId="101">
    <w:name w:val="Turinio antraštė1"/>
    <w:basedOn w:val="46"/>
    <w:next w:val="45"/>
    <w:qFormat/>
    <w:uiPriority w:val="0"/>
    <w:pPr>
      <w:pBdr>
        <w:bottom w:val="single" w:color="ED7D31" w:sz="4" w:space="2"/>
      </w:pBdr>
      <w:spacing w:after="120"/>
    </w:pPr>
    <w:rPr>
      <w:color w:val="262626"/>
      <w:lang w:eastAsia="lt-LT"/>
    </w:rPr>
  </w:style>
  <w:style w:type="character" w:customStyle="1" w:styleId="102">
    <w:name w:val="Be tarpų Diagrama"/>
    <w:qFormat/>
    <w:uiPriority w:val="0"/>
    <w:rPr>
      <w:rFonts w:ascii="Calibri" w:hAnsi="Calibri" w:eastAsia="Times New Roman" w:cs="Times New Roman"/>
      <w:sz w:val="21"/>
      <w:szCs w:val="21"/>
      <w:lang w:eastAsia="lt-LT"/>
    </w:rPr>
  </w:style>
  <w:style w:type="character" w:customStyle="1" w:styleId="103">
    <w:name w:val="Vietos rezervavimo ženklo tekstas1"/>
    <w:qFormat/>
    <w:uiPriority w:val="0"/>
    <w:rPr>
      <w:color w:val="808080"/>
    </w:rPr>
  </w:style>
  <w:style w:type="paragraph" w:customStyle="1" w:styleId="104">
    <w:name w:val="Turinys 11"/>
    <w:basedOn w:val="45"/>
    <w:next w:val="45"/>
    <w:autoRedefine/>
    <w:qFormat/>
    <w:uiPriority w:val="0"/>
    <w:pPr>
      <w:tabs>
        <w:tab w:val="left" w:pos="142"/>
        <w:tab w:val="right" w:leader="dot" w:pos="9962"/>
      </w:tabs>
      <w:spacing w:line="276" w:lineRule="auto"/>
      <w:ind w:left="426" w:hanging="284"/>
      <w:textAlignment w:val="auto"/>
    </w:pPr>
    <w:rPr>
      <w:rFonts w:ascii="Calibri" w:hAnsi="Calibri"/>
      <w:sz w:val="21"/>
      <w:szCs w:val="21"/>
    </w:rPr>
  </w:style>
  <w:style w:type="paragraph" w:customStyle="1" w:styleId="105">
    <w:name w:val="tajtip"/>
    <w:basedOn w:val="45"/>
    <w:qFormat/>
    <w:uiPriority w:val="0"/>
    <w:pPr>
      <w:spacing w:before="100" w:after="100"/>
      <w:textAlignment w:val="auto"/>
    </w:pPr>
  </w:style>
  <w:style w:type="character" w:customStyle="1" w:styleId="106">
    <w:name w:val="Peržiūrėtas hipersaitas1"/>
    <w:qFormat/>
    <w:uiPriority w:val="0"/>
    <w:rPr>
      <w:color w:val="954F72"/>
      <w:u w:val="single"/>
    </w:rPr>
  </w:style>
  <w:style w:type="paragraph" w:customStyle="1" w:styleId="107">
    <w:name w:val="Turinys 21"/>
    <w:basedOn w:val="45"/>
    <w:next w:val="45"/>
    <w:autoRedefine/>
    <w:qFormat/>
    <w:uiPriority w:val="0"/>
    <w:pPr>
      <w:tabs>
        <w:tab w:val="right" w:leader="dot" w:pos="9962"/>
      </w:tabs>
      <w:spacing w:line="276" w:lineRule="auto"/>
      <w:ind w:left="220"/>
      <w:jc w:val="both"/>
      <w:textAlignment w:val="auto"/>
    </w:pPr>
    <w:rPr>
      <w:rFonts w:ascii="Calibri" w:hAnsi="Calibri"/>
      <w:sz w:val="21"/>
      <w:szCs w:val="21"/>
    </w:rPr>
  </w:style>
  <w:style w:type="paragraph" w:customStyle="1" w:styleId="108">
    <w:name w:val="_S 1 lygis"/>
    <w:basedOn w:val="45"/>
    <w:qFormat/>
    <w:uiPriority w:val="0"/>
    <w:pPr>
      <w:spacing w:before="240" w:after="240"/>
      <w:textAlignment w:val="auto"/>
    </w:pPr>
    <w:rPr>
      <w:b/>
    </w:rPr>
  </w:style>
  <w:style w:type="paragraph" w:customStyle="1" w:styleId="109">
    <w:name w:val="_S 2 lygis"/>
    <w:basedOn w:val="45"/>
    <w:qFormat/>
    <w:uiPriority w:val="0"/>
    <w:pPr>
      <w:spacing w:before="120" w:after="120"/>
      <w:jc w:val="both"/>
      <w:textAlignment w:val="auto"/>
    </w:pPr>
  </w:style>
  <w:style w:type="paragraph" w:customStyle="1" w:styleId="110">
    <w:name w:val="_S 3 lygis"/>
    <w:basedOn w:val="109"/>
    <w:qFormat/>
    <w:uiPriority w:val="0"/>
    <w:pPr>
      <w:numPr>
        <w:ilvl w:val="0"/>
        <w:numId w:val="1"/>
      </w:numPr>
    </w:pPr>
  </w:style>
  <w:style w:type="paragraph" w:customStyle="1" w:styleId="111">
    <w:name w:val="Dokumento išnašos tekstas1"/>
    <w:basedOn w:val="45"/>
    <w:qFormat/>
    <w:uiPriority w:val="0"/>
    <w:pPr>
      <w:textAlignment w:val="auto"/>
    </w:pPr>
    <w:rPr>
      <w:rFonts w:ascii="Calibri" w:hAnsi="Calibri"/>
      <w:sz w:val="20"/>
      <w:szCs w:val="20"/>
    </w:rPr>
  </w:style>
  <w:style w:type="character" w:customStyle="1" w:styleId="112">
    <w:name w:val="Dokumento išnašos tekstas Diagrama"/>
    <w:qFormat/>
    <w:uiPriority w:val="0"/>
    <w:rPr>
      <w:rFonts w:ascii="Calibri" w:hAnsi="Calibri" w:eastAsia="Times New Roman" w:cs="Times New Roman"/>
      <w:sz w:val="20"/>
      <w:szCs w:val="20"/>
      <w:lang w:eastAsia="lt-LT"/>
    </w:rPr>
  </w:style>
  <w:style w:type="character" w:customStyle="1" w:styleId="113">
    <w:name w:val="Dokumento išnašos numeris1"/>
    <w:qFormat/>
    <w:uiPriority w:val="0"/>
    <w:rPr>
      <w:position w:val="0"/>
      <w:vertAlign w:val="superscript"/>
    </w:rPr>
  </w:style>
  <w:style w:type="character" w:customStyle="1" w:styleId="114">
    <w:name w:val="Normal + 12 pt Char"/>
    <w:qFormat/>
    <w:uiPriority w:val="0"/>
  </w:style>
  <w:style w:type="paragraph" w:customStyle="1" w:styleId="115">
    <w:name w:val="Normal + 12 pt"/>
    <w:basedOn w:val="45"/>
    <w:qFormat/>
    <w:uiPriority w:val="0"/>
    <w:pPr>
      <w:ind w:right="-283"/>
      <w:jc w:val="both"/>
      <w:textAlignment w:val="auto"/>
    </w:pPr>
    <w:rPr>
      <w:rFonts w:ascii="Calibri" w:hAnsi="Calibri" w:eastAsia="Calibri"/>
      <w:sz w:val="22"/>
      <w:szCs w:val="22"/>
    </w:rPr>
  </w:style>
  <w:style w:type="paragraph" w:customStyle="1" w:styleId="116">
    <w:name w:val="pf0"/>
    <w:basedOn w:val="45"/>
    <w:qFormat/>
    <w:uiPriority w:val="0"/>
    <w:pPr>
      <w:spacing w:before="100" w:after="100"/>
      <w:textAlignment w:val="auto"/>
    </w:pPr>
    <w:rPr>
      <w:lang w:val="en-US"/>
    </w:rPr>
  </w:style>
  <w:style w:type="character" w:customStyle="1" w:styleId="117">
    <w:name w:val="cf01"/>
    <w:qFormat/>
    <w:uiPriority w:val="0"/>
    <w:rPr>
      <w:rFonts w:ascii="Segoe UI" w:hAnsi="Segoe UI" w:cs="Segoe UI"/>
      <w:sz w:val="18"/>
      <w:szCs w:val="18"/>
    </w:rPr>
  </w:style>
  <w:style w:type="character" w:customStyle="1" w:styleId="118">
    <w:name w:val="Mention1"/>
    <w:qFormat/>
    <w:uiPriority w:val="0"/>
    <w:rPr>
      <w:color w:val="2B579A"/>
      <w:shd w:val="clear" w:color="auto" w:fill="E6E6E6"/>
    </w:rPr>
  </w:style>
  <w:style w:type="paragraph" w:customStyle="1" w:styleId="119">
    <w:name w:val="_paragrafe sąrasas 2 lygis"/>
    <w:basedOn w:val="120"/>
    <w:qFormat/>
    <w:uiPriority w:val="0"/>
    <w:pPr>
      <w:spacing w:line="276" w:lineRule="auto"/>
      <w:ind w:left="0"/>
      <w:jc w:val="both"/>
    </w:pPr>
    <w:rPr>
      <w:rFonts w:ascii="Times New Roman" w:hAnsi="Times New Roman"/>
      <w:sz w:val="22"/>
      <w:szCs w:val="22"/>
    </w:rPr>
  </w:style>
  <w:style w:type="paragraph" w:customStyle="1" w:styleId="120">
    <w:name w:val="Pagrindinio teksto įtrauka 21"/>
    <w:basedOn w:val="45"/>
    <w:qFormat/>
    <w:uiPriority w:val="0"/>
    <w:pPr>
      <w:spacing w:after="120" w:line="480" w:lineRule="auto"/>
      <w:ind w:left="283"/>
      <w:textAlignment w:val="auto"/>
    </w:pPr>
    <w:rPr>
      <w:rFonts w:ascii="Calibri" w:hAnsi="Calibri"/>
      <w:sz w:val="21"/>
      <w:szCs w:val="21"/>
    </w:rPr>
  </w:style>
  <w:style w:type="character" w:customStyle="1" w:styleId="121">
    <w:name w:val="_paragrafe sąrasas 2 lygis Diagrama"/>
    <w:qFormat/>
    <w:uiPriority w:val="0"/>
    <w:rPr>
      <w:rFonts w:ascii="Times New Roman" w:hAnsi="Times New Roman" w:eastAsia="Times New Roman"/>
    </w:rPr>
  </w:style>
  <w:style w:type="character" w:customStyle="1" w:styleId="122">
    <w:name w:val="cf11"/>
    <w:qFormat/>
    <w:uiPriority w:val="0"/>
    <w:rPr>
      <w:rFonts w:ascii="Segoe UI" w:hAnsi="Segoe UI" w:cs="Segoe UI"/>
      <w:color w:val="0000FF"/>
      <w:sz w:val="18"/>
      <w:szCs w:val="18"/>
    </w:rPr>
  </w:style>
  <w:style w:type="character" w:customStyle="1" w:styleId="123">
    <w:name w:val="cf21"/>
    <w:qFormat/>
    <w:uiPriority w:val="0"/>
    <w:rPr>
      <w:rFonts w:ascii="Segoe UI" w:hAnsi="Segoe UI" w:cs="Segoe UI"/>
      <w:color w:val="538135"/>
      <w:sz w:val="18"/>
      <w:szCs w:val="18"/>
    </w:rPr>
  </w:style>
  <w:style w:type="character" w:customStyle="1" w:styleId="124">
    <w:name w:val="Unresolved Mention11"/>
    <w:qFormat/>
    <w:uiPriority w:val="0"/>
    <w:rPr>
      <w:color w:val="808080"/>
      <w:shd w:val="clear" w:color="auto" w:fill="E6E6E6"/>
    </w:rPr>
  </w:style>
  <w:style w:type="character" w:customStyle="1" w:styleId="125">
    <w:name w:val="Mention11"/>
    <w:qFormat/>
    <w:uiPriority w:val="0"/>
    <w:rPr>
      <w:color w:val="2B579A"/>
      <w:shd w:val="clear" w:color="auto" w:fill="E6E6E6"/>
    </w:rPr>
  </w:style>
  <w:style w:type="character" w:customStyle="1" w:styleId="126">
    <w:name w:val="Poraštė Diagrama1"/>
    <w:qFormat/>
    <w:uiPriority w:val="99"/>
  </w:style>
  <w:style w:type="character" w:customStyle="1" w:styleId="127">
    <w:name w:val="Antraštės Diagrama1"/>
    <w:qFormat/>
    <w:uiPriority w:val="99"/>
  </w:style>
  <w:style w:type="character" w:customStyle="1" w:styleId="128">
    <w:name w:val="Comment Text Char"/>
    <w:basedOn w:val="8"/>
    <w:link w:val="15"/>
    <w:qFormat/>
    <w:uiPriority w:val="99"/>
    <w:rPr>
      <w:rFonts w:ascii="Calibri" w:hAnsi="Calibri" w:eastAsia="Calibri"/>
      <w:lang w:eastAsia="en-US"/>
    </w:rPr>
  </w:style>
  <w:style w:type="character" w:customStyle="1" w:styleId="129">
    <w:name w:val="Comment Subject Char"/>
    <w:basedOn w:val="128"/>
    <w:link w:val="16"/>
    <w:semiHidden/>
    <w:qFormat/>
    <w:uiPriority w:val="99"/>
    <w:rPr>
      <w:rFonts w:ascii="Calibri" w:hAnsi="Calibri" w:eastAsia="Calibri"/>
      <w:b/>
      <w:bCs/>
      <w:lang w:eastAsia="en-US"/>
    </w:rPr>
  </w:style>
  <w:style w:type="character" w:customStyle="1" w:styleId="130">
    <w:name w:val="Balloon Text Char"/>
    <w:basedOn w:val="8"/>
    <w:link w:val="10"/>
    <w:semiHidden/>
    <w:qFormat/>
    <w:uiPriority w:val="99"/>
    <w:rPr>
      <w:rFonts w:ascii="Segoe UI" w:hAnsi="Segoe UI" w:eastAsia="Calibri" w:cs="Segoe UI"/>
      <w:sz w:val="18"/>
      <w:szCs w:val="18"/>
      <w:lang w:eastAsia="en-US"/>
    </w:rPr>
  </w:style>
  <w:style w:type="character" w:customStyle="1" w:styleId="131">
    <w:name w:val="normaltextrun"/>
    <w:qFormat/>
    <w:uiPriority w:val="0"/>
  </w:style>
  <w:style w:type="character" w:customStyle="1" w:styleId="132">
    <w:name w:val="Unresolved Mention2"/>
    <w:basedOn w:val="8"/>
    <w:semiHidden/>
    <w:unhideWhenUsed/>
    <w:qFormat/>
    <w:uiPriority w:val="99"/>
    <w:rPr>
      <w:color w:val="605E5C"/>
      <w:shd w:val="clear" w:color="auto" w:fill="E1DFDD"/>
    </w:rPr>
  </w:style>
  <w:style w:type="table" w:customStyle="1" w:styleId="133">
    <w:name w:val="_Style 132"/>
    <w:basedOn w:val="9"/>
    <w:qFormat/>
    <w:uiPriority w:val="0"/>
    <w:tblPr>
      <w:tblCellMar>
        <w:left w:w="10" w:type="dxa"/>
        <w:right w:w="10" w:type="dxa"/>
      </w:tblCellMar>
    </w:tblPr>
  </w:style>
  <w:style w:type="table" w:customStyle="1" w:styleId="134">
    <w:name w:val="_Style 133"/>
    <w:basedOn w:val="9"/>
    <w:qFormat/>
    <w:uiPriority w:val="0"/>
    <w:tblPr>
      <w:tblCellMar>
        <w:left w:w="115" w:type="dxa"/>
        <w:right w:w="115" w:type="dxa"/>
      </w:tblCellMar>
    </w:tblPr>
  </w:style>
  <w:style w:type="table" w:customStyle="1" w:styleId="135">
    <w:name w:val="_Style 134"/>
    <w:basedOn w:val="9"/>
    <w:qFormat/>
    <w:uiPriority w:val="0"/>
    <w:tblPr>
      <w:tblCellMar>
        <w:left w:w="10" w:type="dxa"/>
        <w:right w:w="10" w:type="dxa"/>
      </w:tblCellMar>
    </w:tblPr>
  </w:style>
  <w:style w:type="table" w:customStyle="1" w:styleId="136">
    <w:name w:val="_Style 135"/>
    <w:basedOn w:val="9"/>
    <w:qFormat/>
    <w:uiPriority w:val="0"/>
    <w:tblPr>
      <w:tblCellMar>
        <w:left w:w="10" w:type="dxa"/>
        <w:right w:w="10" w:type="dxa"/>
      </w:tblCellMar>
    </w:tblPr>
  </w:style>
  <w:style w:type="table" w:customStyle="1" w:styleId="137">
    <w:name w:val="_Style 136"/>
    <w:basedOn w:val="9"/>
    <w:qFormat/>
    <w:uiPriority w:val="0"/>
    <w:tblPr>
      <w:tblCellMar>
        <w:left w:w="10" w:type="dxa"/>
        <w:right w:w="10" w:type="dxa"/>
      </w:tblCellMar>
    </w:tblPr>
  </w:style>
  <w:style w:type="table" w:customStyle="1" w:styleId="138">
    <w:name w:val="_Style 137"/>
    <w:basedOn w:val="9"/>
    <w:qFormat/>
    <w:uiPriority w:val="0"/>
    <w:tblPr>
      <w:tblCellMar>
        <w:left w:w="10" w:type="dxa"/>
        <w:right w:w="10" w:type="dxa"/>
      </w:tblCellMar>
    </w:tblPr>
  </w:style>
  <w:style w:type="table" w:customStyle="1" w:styleId="139">
    <w:name w:val="_Style 138"/>
    <w:basedOn w:val="9"/>
    <w:qFormat/>
    <w:uiPriority w:val="0"/>
    <w:tblPr>
      <w:tblCellMar>
        <w:left w:w="10" w:type="dxa"/>
        <w:right w:w="10" w:type="dxa"/>
      </w:tblCellMar>
    </w:tblPr>
  </w:style>
  <w:style w:type="table" w:customStyle="1" w:styleId="140">
    <w:name w:val="_Style 139"/>
    <w:basedOn w:val="9"/>
    <w:qFormat/>
    <w:uiPriority w:val="0"/>
    <w:tblPr>
      <w:tblCellMar>
        <w:left w:w="10" w:type="dxa"/>
        <w:right w:w="10" w:type="dxa"/>
      </w:tblCellMar>
    </w:tblPr>
  </w:style>
  <w:style w:type="table" w:customStyle="1" w:styleId="141">
    <w:name w:val="_Style 140"/>
    <w:basedOn w:val="9"/>
    <w:qFormat/>
    <w:uiPriority w:val="0"/>
    <w:tblPr>
      <w:tblCellMar>
        <w:left w:w="10" w:type="dxa"/>
        <w:right w:w="10" w:type="dxa"/>
      </w:tblCellMar>
    </w:tblPr>
  </w:style>
  <w:style w:type="table" w:customStyle="1" w:styleId="142">
    <w:name w:val="_Style 141"/>
    <w:basedOn w:val="9"/>
    <w:qFormat/>
    <w:uiPriority w:val="0"/>
    <w:tblPr>
      <w:tblCellMar>
        <w:left w:w="10" w:type="dxa"/>
        <w:right w:w="10" w:type="dxa"/>
      </w:tblCellMar>
    </w:tblPr>
  </w:style>
  <w:style w:type="table" w:customStyle="1" w:styleId="143">
    <w:name w:val="_Style 142"/>
    <w:basedOn w:val="9"/>
    <w:qFormat/>
    <w:uiPriority w:val="0"/>
    <w:tblPr>
      <w:tblCellMar>
        <w:left w:w="10" w:type="dxa"/>
        <w:right w:w="10" w:type="dxa"/>
      </w:tblCellMar>
    </w:tblPr>
  </w:style>
  <w:style w:type="table" w:customStyle="1" w:styleId="144">
    <w:name w:val="_Style 143"/>
    <w:basedOn w:val="9"/>
    <w:qFormat/>
    <w:uiPriority w:val="0"/>
    <w:tblPr>
      <w:tblCellMar>
        <w:left w:w="10" w:type="dxa"/>
        <w:right w:w="10" w:type="dxa"/>
      </w:tblCellMar>
    </w:tblPr>
  </w:style>
  <w:style w:type="table" w:customStyle="1" w:styleId="145">
    <w:name w:val="_Style 144"/>
    <w:basedOn w:val="9"/>
    <w:qFormat/>
    <w:uiPriority w:val="0"/>
    <w:tblPr>
      <w:tblCellMar>
        <w:left w:w="10" w:type="dxa"/>
        <w:right w:w="10" w:type="dxa"/>
      </w:tblCellMar>
    </w:tblPr>
  </w:style>
  <w:style w:type="table" w:customStyle="1" w:styleId="146">
    <w:name w:val="_Style 145"/>
    <w:basedOn w:val="9"/>
    <w:qFormat/>
    <w:uiPriority w:val="0"/>
    <w:tblPr>
      <w:tblCellMar>
        <w:left w:w="10" w:type="dxa"/>
        <w:right w:w="10" w:type="dxa"/>
      </w:tblCellMar>
    </w:tblPr>
  </w:style>
  <w:style w:type="table" w:customStyle="1" w:styleId="147">
    <w:name w:val="_Style 146"/>
    <w:basedOn w:val="9"/>
    <w:qFormat/>
    <w:uiPriority w:val="0"/>
    <w:tblPr>
      <w:tblCellMar>
        <w:left w:w="10" w:type="dxa"/>
        <w:right w:w="10" w:type="dxa"/>
      </w:tblCellMar>
    </w:tblPr>
  </w:style>
  <w:style w:type="table" w:customStyle="1" w:styleId="148">
    <w:name w:val="_Style 147"/>
    <w:basedOn w:val="9"/>
    <w:qFormat/>
    <w:uiPriority w:val="0"/>
    <w:tblPr>
      <w:tblCellMar>
        <w:top w:w="15" w:type="dxa"/>
        <w:left w:w="15" w:type="dxa"/>
        <w:bottom w:w="15" w:type="dxa"/>
        <w:right w:w="15" w:type="dxa"/>
      </w:tblCellMar>
    </w:tblPr>
  </w:style>
  <w:style w:type="table" w:customStyle="1" w:styleId="149">
    <w:name w:val="_Style 148"/>
    <w:basedOn w:val="9"/>
    <w:qFormat/>
    <w:uiPriority w:val="0"/>
    <w:tblPr>
      <w:tblCellMar>
        <w:top w:w="15" w:type="dxa"/>
        <w:left w:w="15" w:type="dxa"/>
        <w:bottom w:w="15" w:type="dxa"/>
        <w:right w:w="15" w:type="dxa"/>
      </w:tblCellMar>
    </w:tblPr>
  </w:style>
  <w:style w:type="table" w:customStyle="1" w:styleId="150">
    <w:name w:val="_Style 149"/>
    <w:basedOn w:val="9"/>
    <w:qFormat/>
    <w:uiPriority w:val="0"/>
    <w:tblPr>
      <w:tblCellMar>
        <w:left w:w="10" w:type="dxa"/>
        <w:right w:w="10" w:type="dxa"/>
      </w:tblCellMar>
    </w:tblPr>
  </w:style>
  <w:style w:type="table" w:customStyle="1" w:styleId="151">
    <w:name w:val="_Style 150"/>
    <w:basedOn w:val="9"/>
    <w:qFormat/>
    <w:uiPriority w:val="0"/>
    <w:tblPr>
      <w:tblCellMar>
        <w:left w:w="10" w:type="dxa"/>
        <w:right w:w="10" w:type="dxa"/>
      </w:tblCellMar>
    </w:tblPr>
  </w:style>
  <w:style w:type="table" w:customStyle="1" w:styleId="152">
    <w:name w:val="_Style 151"/>
    <w:basedOn w:val="9"/>
    <w:qFormat/>
    <w:uiPriority w:val="0"/>
    <w:tblPr>
      <w:tblCellMar>
        <w:left w:w="10" w:type="dxa"/>
        <w:right w:w="10" w:type="dxa"/>
      </w:tblCellMar>
    </w:tblPr>
  </w:style>
  <w:style w:type="table" w:customStyle="1" w:styleId="153">
    <w:name w:val="_Style 152"/>
    <w:basedOn w:val="9"/>
    <w:qFormat/>
    <w:uiPriority w:val="0"/>
    <w:tblPr>
      <w:tblCellMar>
        <w:left w:w="10" w:type="dxa"/>
        <w:right w:w="10" w:type="dxa"/>
      </w:tblCellMar>
    </w:tblPr>
  </w:style>
  <w:style w:type="table" w:customStyle="1" w:styleId="154">
    <w:name w:val="_Style 153"/>
    <w:basedOn w:val="9"/>
    <w:qFormat/>
    <w:uiPriority w:val="0"/>
    <w:tblPr>
      <w:tblCellMar>
        <w:left w:w="10" w:type="dxa"/>
        <w:right w:w="10" w:type="dxa"/>
      </w:tblCellMar>
    </w:tblPr>
  </w:style>
  <w:style w:type="table" w:customStyle="1" w:styleId="155">
    <w:name w:val="_Style 154"/>
    <w:basedOn w:val="9"/>
    <w:qFormat/>
    <w:uiPriority w:val="0"/>
    <w:tblPr>
      <w:tblCellMar>
        <w:left w:w="10" w:type="dxa"/>
        <w:right w:w="10" w:type="dxa"/>
      </w:tblCellMar>
    </w:tblPr>
  </w:style>
  <w:style w:type="table" w:customStyle="1" w:styleId="156">
    <w:name w:val="_Style 155"/>
    <w:basedOn w:val="9"/>
    <w:qFormat/>
    <w:uiPriority w:val="0"/>
    <w:tblPr>
      <w:tblCellMar>
        <w:left w:w="115" w:type="dxa"/>
        <w:right w:w="115"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4"/>
          </a:schemeClr>
        </a:solidFill>
        <a:ln w="12700" cap="flat">
          <a:noFill/>
          <a:miter lim="400000"/>
        </a:ln>
      </a:spPr>
      <a:bodyPr rot="0" spcFirstLastPara="1" vertOverflow="overflow" horzOverflow="overflow" vert="horz" wrap="square" lIns="50800" tIns="50800" rIns="50800" bIns="50800" numCol="1" spcCol="38100" rtlCol="0" anchor="ctr">
        <a:spAutoFit/>
      </a:body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4"/>
            </a:schemeClr>
          </a:solidFill>
          <a:prstDash val="solid"/>
          <a:miter lim="4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50800" tIns="50800" rIns="50800" bIns="50800"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0so865Ayp5UmBOT2MH2Y5otjVg==">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</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71</Pages>
  <Words>20763</Words>
  <Characters>148020</Characters>
  <Lines>519</Lines>
  <Paragraphs>342</Paragraphs>
  <TotalTime>23</TotalTime>
  <ScaleCrop>false</ScaleCrop>
  <LinksUpToDate>false</LinksUpToDate>
  <CharactersWithSpaces>168034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2026-09-23T14:40:00Z</dcterms:created>
  <dc:creator>user</dc:creator>
  <cp:lastModifiedBy>Vitalija</cp:lastModifiedBy>
  <dcterms:modified xsi:type="dcterms:W3CDTF">2026-09-23T21:57:19Z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464A9927B70C4FEA97615DDA2C327C52_13</vt:lpwstr>
  </property>
  <property fmtid="{D5CDD505-2E9C-101B-9397-08002B2CF9AE}" pid="4" name="KSOTemplateDocerSaveRecord">
    <vt:lpwstr>eyJoZGlkIjoiNmI5NDliZTJhM2Y4YjMzZjA3NGFmYmIzNGUzNTE1ZTAifQ==</vt:lpwstr>
  </property>
</Properties>
</file>