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3FF2" w14:textId="77777777" w:rsidR="004C5293" w:rsidRPr="00F0499F" w:rsidRDefault="004C5293" w:rsidP="004C5293">
      <w:pPr>
        <w:pStyle w:val="Antrat2"/>
        <w:spacing w:before="0"/>
        <w:jc w:val="right"/>
        <w:rPr>
          <w:rFonts w:asciiTheme="minorHAnsi" w:eastAsia="Calibri" w:hAnsiTheme="minorHAnsi" w:cstheme="minorHAnsi"/>
          <w:color w:val="0070C0"/>
          <w:sz w:val="21"/>
          <w:szCs w:val="21"/>
        </w:rPr>
      </w:pPr>
      <w:bookmarkStart w:id="0" w:name="_Ref38285444"/>
      <w:bookmarkStart w:id="1" w:name="_Ref38291496"/>
      <w:bookmarkStart w:id="2" w:name="_Toc18178455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6234E01" w14:textId="77777777" w:rsidR="004C5293" w:rsidRDefault="004C5293" w:rsidP="0068119C">
      <w:pPr>
        <w:ind w:firstLine="851"/>
        <w:jc w:val="both"/>
      </w:pPr>
    </w:p>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lastRenderedPageBreak/>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611363">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 xml:space="preserve">1) tiekėjo, kuris yra fizinis asmuo, per pastaruosius 5 metus buvo priimtas ir įsiteisėjęs apkaltinamasis teismo </w:t>
            </w:r>
            <w:r w:rsidRPr="00611363">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w:t>
            </w:r>
            <w:r w:rsidRPr="00611363">
              <w:rPr>
                <w:rFonts w:ascii="Verdana" w:hAnsi="Verdana" w:cstheme="minorHAnsi"/>
                <w:bCs/>
                <w:sz w:val="22"/>
                <w:szCs w:val="22"/>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t xml:space="preserve">arba valstybės įmonės Registrų centro Lietuvos Respublikos Vyriausybės nustatyta tvarka išduoto dokumento, patvirtinančio </w:t>
            </w:r>
            <w:r w:rsidRPr="00611363">
              <w:rPr>
                <w:rFonts w:ascii="Verdana" w:hAnsi="Verdana"/>
                <w:sz w:val="22"/>
                <w:szCs w:val="22"/>
              </w:rPr>
              <w:lastRenderedPageBreak/>
              <w:t>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lastRenderedPageBreak/>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3"/>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805F54" w:rsidP="00290CC0">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805F54" w:rsidP="00290CC0">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805F54" w:rsidP="00290CC0">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F75815" w:rsidP="00F2785B">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F2785B" w:rsidP="00F2785B">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BEDA" w14:textId="77777777" w:rsidR="002F522C" w:rsidRDefault="002F522C" w:rsidP="00B97C4F">
      <w:pPr>
        <w:spacing w:after="0" w:line="240" w:lineRule="auto"/>
      </w:pPr>
      <w:r>
        <w:separator/>
      </w:r>
    </w:p>
  </w:endnote>
  <w:endnote w:type="continuationSeparator" w:id="0">
    <w:p w14:paraId="2F27E40D" w14:textId="77777777" w:rsidR="002F522C" w:rsidRDefault="002F522C" w:rsidP="00B97C4F">
      <w:pPr>
        <w:spacing w:after="0" w:line="240" w:lineRule="auto"/>
      </w:pPr>
      <w:r>
        <w:continuationSeparator/>
      </w:r>
    </w:p>
  </w:endnote>
  <w:endnote w:type="continuationNotice" w:id="1">
    <w:p w14:paraId="34A4C630" w14:textId="77777777" w:rsidR="002F522C" w:rsidRDefault="002F5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97E78" w14:textId="77777777" w:rsidR="002F522C" w:rsidRDefault="002F522C" w:rsidP="00B97C4F">
      <w:pPr>
        <w:spacing w:after="0" w:line="240" w:lineRule="auto"/>
      </w:pPr>
      <w:r>
        <w:separator/>
      </w:r>
    </w:p>
  </w:footnote>
  <w:footnote w:type="continuationSeparator" w:id="0">
    <w:p w14:paraId="4699E744" w14:textId="77777777" w:rsidR="002F522C" w:rsidRDefault="002F522C" w:rsidP="00B97C4F">
      <w:pPr>
        <w:spacing w:after="0" w:line="240" w:lineRule="auto"/>
      </w:pPr>
      <w:r>
        <w:continuationSeparator/>
      </w:r>
    </w:p>
  </w:footnote>
  <w:footnote w:type="continuationNotice" w:id="1">
    <w:p w14:paraId="42AEA614" w14:textId="77777777" w:rsidR="002F522C" w:rsidRDefault="002F522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2F522C"/>
    <w:rsid w:val="00302076"/>
    <w:rsid w:val="003042EA"/>
    <w:rsid w:val="003043D1"/>
    <w:rsid w:val="00305AD5"/>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293"/>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7062"/>
    <w:rsid w:val="00BC34D5"/>
    <w:rsid w:val="00BE3639"/>
    <w:rsid w:val="00C02F22"/>
    <w:rsid w:val="00C04025"/>
    <w:rsid w:val="00C13FA1"/>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202A"/>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371F"/>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nhideWhenUsed/>
    <w:qFormat/>
    <w:rsid w:val="004C52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rsid w:val="004C529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14175</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Vaišnorė Lina</cp:lastModifiedBy>
  <cp:revision>5</cp:revision>
  <cp:lastPrinted>2022-12-15T10:27:00Z</cp:lastPrinted>
  <dcterms:created xsi:type="dcterms:W3CDTF">2024-08-02T05:36:00Z</dcterms:created>
  <dcterms:modified xsi:type="dcterms:W3CDTF">2024-11-07T09:19:00Z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