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9771"/>
        <w:gridCol w:w="614"/>
      </w:tblGrid>
      <w:tr w:rsidR="00F37D60" w14:paraId="7FE36026" w14:textId="77777777">
        <w:trPr>
          <w:trHeight w:val="99"/>
        </w:trPr>
        <w:tc>
          <w:tcPr>
            <w:tcW w:w="638" w:type="dxa"/>
          </w:tcPr>
          <w:p w14:paraId="7FE36023" w14:textId="77777777" w:rsidR="00F37D60" w:rsidRDefault="00F37D60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7FE36024" w14:textId="77777777" w:rsidR="00F37D60" w:rsidRDefault="00F37D60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7FE36025" w14:textId="77777777" w:rsidR="00F37D60" w:rsidRDefault="00F37D60">
            <w:pPr>
              <w:pStyle w:val="EmptyCellLayoutStyle"/>
              <w:spacing w:after="0" w:line="240" w:lineRule="auto"/>
            </w:pPr>
          </w:p>
        </w:tc>
      </w:tr>
      <w:tr w:rsidR="00F37D60" w14:paraId="7FE36069" w14:textId="77777777">
        <w:tc>
          <w:tcPr>
            <w:tcW w:w="638" w:type="dxa"/>
          </w:tcPr>
          <w:p w14:paraId="7FE36027" w14:textId="77777777" w:rsidR="00F37D60" w:rsidRDefault="00F37D60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1"/>
            </w:tblGrid>
            <w:tr w:rsidR="00F37D60" w14:paraId="7FE36066" w14:textId="77777777">
              <w:trPr>
                <w:trHeight w:val="1288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7"/>
                    <w:gridCol w:w="3257"/>
                    <w:gridCol w:w="3257"/>
                  </w:tblGrid>
                  <w:tr w:rsidR="00F37D60" w14:paraId="7FE3602B" w14:textId="77777777">
                    <w:trPr>
                      <w:trHeight w:val="98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28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E36029" w14:textId="77777777" w:rsidR="00F37D60" w:rsidRDefault="00170AD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E3606F" wp14:editId="7FE36070">
                              <wp:extent cx="2068344" cy="406073"/>
                              <wp:effectExtent l="0" t="0" r="0" b="0"/>
                              <wp:docPr id="2076814478" name="img2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8344" cy="40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2A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</w:tr>
                  <w:tr w:rsidR="00215969" w14:paraId="7FE3602F" w14:textId="77777777" w:rsidTr="00215969">
                    <w:trPr>
                      <w:trHeight w:val="107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2C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</w:tr>
                  <w:tr w:rsidR="00F37D60" w14:paraId="7FE36037" w14:textId="77777777">
                    <w:trPr>
                      <w:trHeight w:val="1751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0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1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2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TVIRTINU:</w:t>
                        </w:r>
                      </w:p>
                      <w:p w14:paraId="7FE36033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Martynas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Gedaminskas</w:t>
                        </w:r>
                        <w:proofErr w:type="spellEnd"/>
                      </w:p>
                      <w:p w14:paraId="7FE36034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(Vardo raidė, pavardė, parašas)</w:t>
                        </w:r>
                      </w:p>
                      <w:p w14:paraId="7FE36035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____________________</w:t>
                        </w:r>
                      </w:p>
                      <w:p w14:paraId="7FE36036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(data)</w:t>
                        </w:r>
                      </w:p>
                    </w:tc>
                  </w:tr>
                  <w:tr w:rsidR="00215969" w14:paraId="7FE3603C" w14:textId="77777777" w:rsidTr="00215969">
                    <w:trPr>
                      <w:trHeight w:val="136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8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TECHNINĖ UŽDUOTIS VALSTYBINĖS REIKŠMĖS KELIŲ IR</w:t>
                        </w:r>
                      </w:p>
                      <w:p w14:paraId="7FE36039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/ ARBA JŲ ELEMENTŲ PROJEKTAVIMUI</w:t>
                        </w:r>
                      </w:p>
                    </w:tc>
                  </w:tr>
                  <w:tr w:rsidR="00F37D60" w14:paraId="7FE36040" w14:textId="77777777">
                    <w:trPr>
                      <w:trHeight w:val="990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D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E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3F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</w:tr>
                  <w:tr w:rsidR="00215969" w14:paraId="7FE36044" w14:textId="77777777" w:rsidTr="00215969">
                    <w:trPr>
                      <w:trHeight w:val="457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41" w14:textId="5144E0C1" w:rsidR="00F37D60" w:rsidRDefault="00170AD3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1. Statytojas: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2. Užsakovas: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3. Projekto pavadinimas: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2613 Kazlų Rūda–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Bagotoji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ruožo nuo 1,934 iki 9,750 km kapitalinis remontas, įrengiant takus, projektiniai pasiūlymai.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4. Statybos rūšis: </w:t>
                        </w:r>
                        <w:r>
                          <w:rPr>
                            <w:color w:val="000000"/>
                            <w:sz w:val="24"/>
                          </w:rPr>
                          <w:t>kapitalinis remontas.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5. Etapas: </w:t>
                        </w:r>
                        <w:r w:rsidR="00215969">
                          <w:rPr>
                            <w:color w:val="000000"/>
                            <w:sz w:val="24"/>
                          </w:rPr>
                          <w:t>projektiniai pasiūlymai</w:t>
                        </w:r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6. Statinio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ypatingasis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7. Statinio rūšis: </w:t>
                        </w:r>
                        <w:r>
                          <w:rPr>
                            <w:color w:val="000000"/>
                            <w:sz w:val="24"/>
                          </w:rPr>
                          <w:t>inžinerinis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8. Inžinerinių statinių grupė: </w:t>
                        </w:r>
                        <w:r>
                          <w:rPr>
                            <w:color w:val="000000"/>
                            <w:sz w:val="24"/>
                          </w:rPr>
                          <w:t>susisiekimo komunikacijos.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9. Inžinerinių statinių pogrupis: </w:t>
                        </w:r>
                        <w:r>
                          <w:rPr>
                            <w:color w:val="000000"/>
                            <w:sz w:val="24"/>
                          </w:rPr>
                          <w:t>keliai; kiti transporto statiniai.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</w:p>
                    </w:tc>
                  </w:tr>
                  <w:tr w:rsidR="00215969" w14:paraId="7FE36048" w14:textId="77777777" w:rsidTr="00215969">
                    <w:trPr>
                      <w:trHeight w:val="44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45" w14:textId="77777777" w:rsidR="00F37D60" w:rsidRDefault="00170AD3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10. Nurodymai statinių ir / arba jų elementų projektavimui ir jų techniniai parametrai:</w:t>
                        </w:r>
                      </w:p>
                    </w:tc>
                  </w:tr>
                  <w:tr w:rsidR="00215969" w14:paraId="7FE3604C" w14:textId="77777777" w:rsidTr="00215969">
                    <w:trPr>
                      <w:trHeight w:val="43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49" w14:textId="77777777" w:rsidR="00F37D60" w:rsidRDefault="00170AD3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10.1. numatoma darbų vykdymo riba: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rajoninio kelio Nr. 2613 Kazlų Rūda–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Bagotoji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ruožo nuo 1,934 iki 9,750 km (darbų ribas tikslinti projektavimo metu);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10.2. kelio (gatvės)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pagal VĮ Registrų centro duomenis;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lastRenderedPageBreak/>
                          <w:t xml:space="preserve">10.3. projektavimo paslaugų apimtis: </w:t>
                        </w:r>
                        <w:r>
                          <w:rPr>
                            <w:color w:val="000000"/>
                            <w:sz w:val="24"/>
                          </w:rPr>
                          <w:t>nurodytame kelio ruože suprojektuoti taką, nuovažas, pagal poreikį ir autobusų sustojimo aikšteles. Įvertinus poreikį, numatyti saugaus eismo ir pėsčiųjų perėjimo per kelią organizavimo priemonių įrengimą ir / ar jų sutvarkymą, taip pat aktualias pėsčiųjų infrastrukt</w:t>
                        </w:r>
                        <w:r>
                          <w:rPr>
                            <w:color w:val="000000"/>
                            <w:sz w:val="24"/>
                          </w:rPr>
                          <w:t>ūros jungtis (takus);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10.4. pėstiesiems ir (arba) dviratininkams skirta infrastruktūra: </w:t>
                        </w:r>
                        <w:r>
                          <w:rPr>
                            <w:color w:val="000000"/>
                            <w:sz w:val="24"/>
                          </w:rPr>
                          <w:t>pagal Pėsčiųjų ir dviračių takų projektavimo rekomendacijas R PDTP 12;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10.5. dangos konstrukcijos klasė: </w:t>
                        </w:r>
                        <w:r>
                          <w:rPr>
                            <w:color w:val="000000"/>
                            <w:sz w:val="24"/>
                          </w:rPr>
                          <w:t>pagal Automobilių kelių standartizuotų dangų konstrukcijų projektavimo taisykles KPT SDK 19;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10.6. nuovažų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10.7. numatomi / rekonstruojami inžineriniai tinklai: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10.8. vandens pralaidos: </w:t>
                        </w:r>
                        <w:r>
                          <w:rPr>
                            <w:color w:val="000000"/>
                            <w:sz w:val="24"/>
                          </w:rPr>
                          <w:t>esamų tvarkymas ar naujų įrengimas nustatomas projektavimo m</w:t>
                        </w:r>
                        <w:r>
                          <w:rPr>
                            <w:color w:val="000000"/>
                            <w:sz w:val="24"/>
                          </w:rPr>
                          <w:t>etu (neprojektuoti pralaidų už kelio sklypo / statinio ribos);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10.9. vandens nuleidimas nuo kelio: </w:t>
                        </w:r>
                        <w:r>
                          <w:rPr>
                            <w:color w:val="000000"/>
                            <w:sz w:val="24"/>
                          </w:rPr>
                          <w:t>spręsti lietaus vandens surinkimą ir nuvedimą projektavimo metu (neprojektuoti lietaus vandens nuvedimo į privačias teritorijas). Esant poreikiui suprojektuoti uždarą lietaus vandens nuvedimo sistemą, kuri po statybos darbų bus registruojama atskirai;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10.10. pėsčiųjų perėjimo per kelią organizavimo priemonės vieta: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10.11. pėsčiųjų perėjimo per kelią organizavimo priemonės tipas: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Pėsčiųjų perėjimo per kelius ir gatves organizavimo taisyklėmis;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10.12. pėsčiųjų perėjimo per kelią organizavimo priemonės kryptinis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10.13. autobusų sustojimo aikštelių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10.14. inžinerinės eismo saugos priemonės: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Inžinerinių eismo saugumo priemonių įgyvendinimo rekomendacijomis;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10.15.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projektavimo metu įvertin</w:t>
                        </w:r>
                        <w:r>
                          <w:rPr>
                            <w:color w:val="000000"/>
                            <w:sz w:val="24"/>
                          </w:rPr>
                          <w:t>ti apšvietimo poreikį. Apšvietimo apskaita turi būti atskira nuo savivaldybės tinklų.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215969" w14:paraId="7FE36050" w14:textId="77777777" w:rsidTr="00215969">
                    <w:trPr>
                      <w:trHeight w:val="4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4D" w14:textId="77777777" w:rsidR="00F37D60" w:rsidRDefault="00170AD3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>11. Projektuojant vadovautis šiais dokumentais:</w:t>
                        </w:r>
                      </w:p>
                    </w:tc>
                  </w:tr>
                  <w:tr w:rsidR="00215969" w14:paraId="7FE36054" w14:textId="77777777" w:rsidTr="00215969">
                    <w:trPr>
                      <w:trHeight w:val="5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51" w14:textId="77777777" w:rsidR="00F37D60" w:rsidRDefault="00170AD3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11.1. Lietuvos Respublikos kelių įstatymu, Lietuvos Respublikos statybos įstatymu, kelių techniniu reglamentu, statybos techniniais reglamentais, higienos normomis, kitais poįstatyminiais teisės aktais: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11.2. kitais galiojančiais įstatymais, teisės aktais ir normatyviniais statybos techniniais dokumentais, įskaitant, bet neapsiribojant, nurodytais Akcinės bendrovės Lietuvos automobilių kelių direkcijos interneto svetainėje adresu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lastRenderedPageBreak/>
                          <w:t xml:space="preserve">http://lakd.lt/lt/paslaugos/normatyviniai-dokumentai 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11.3. projekto rengimo dokumentais: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11.4. prisijungimo sąlygomis: </w:t>
                        </w:r>
                        <w:r>
                          <w:rPr>
                            <w:color w:val="000000"/>
                            <w:sz w:val="24"/>
                          </w:rPr>
                          <w:t>Taip.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215969" w14:paraId="7FE36058" w14:textId="77777777" w:rsidTr="00215969">
                    <w:trPr>
                      <w:trHeight w:val="1135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63981E" w14:textId="5482EF20" w:rsidR="00170AD3" w:rsidRDefault="00170AD3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 xml:space="preserve">12. Finansavimo šaltinis: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Kelių priežiūros ir plėtros programos lėšos.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13. Projekto apimtis: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Pagal STR 1.04.04:2017 „Statinio projektavimas, projekto ekspertizė“.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14. Papildomos paslaugos (paslaugos, deleguotos Statytojo projektuotojui):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Atlikti kitas papildomas paslaugas kaip tai numato Techninė specifikacija ir Sutarties sąlygos.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15. Su šia užduotimi pateikiami Statytojo privalomieji ir kiti dokumentai projektui rengti bei šių dokumentų pateikimo laikotarpis: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Priedas Nr. 1. Techninė specifikacija; Priedas Nr. 2. Kadastrinių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 matavimų bylos (pateikiama pasirašius paslaugų sutartį).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16. Žemės sklypo statinio teisinės registracijos Nekilnojamojo turto registre duomenys: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- žemės sklypo unikalus numeris:4400-2753-9311,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 4400-2520-7885;</w:t>
                        </w:r>
                      </w:p>
                      <w:p w14:paraId="7FE36055" w14:textId="04284820" w:rsidR="00F37D60" w:rsidRDefault="00170AD3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  <w:sz w:val="24"/>
                          </w:rPr>
                          <w:t>- inžinerinio statinio unikalus numeris: 4400-2209-4104.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F37D60" w14:paraId="7FE36064" w14:textId="77777777">
                    <w:trPr>
                      <w:trHeight w:val="225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59" w14:textId="77777777" w:rsidR="00F37D60" w:rsidRDefault="00F37D60">
                        <w:pPr>
                          <w:spacing w:after="0" w:line="240" w:lineRule="auto"/>
                          <w:jc w:val="center"/>
                        </w:pPr>
                      </w:p>
                      <w:p w14:paraId="7FE3605A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STATYTOJAS</w:t>
                        </w:r>
                      </w:p>
                      <w:p w14:paraId="7FE3605B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Akcinė bendrovė Via Lietuva</w:t>
                        </w:r>
                      </w:p>
                      <w:p w14:paraId="7FE3605C" w14:textId="77777777" w:rsidR="00F37D60" w:rsidRDefault="00F37D60">
                        <w:pPr>
                          <w:spacing w:after="0" w:line="240" w:lineRule="auto"/>
                          <w:jc w:val="center"/>
                        </w:pPr>
                      </w:p>
                      <w:p w14:paraId="7FE3605D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5E" w14:textId="77777777" w:rsidR="00F37D60" w:rsidRDefault="00F37D6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E3605F" w14:textId="77777777" w:rsidR="00F37D60" w:rsidRDefault="00F37D60">
                        <w:pPr>
                          <w:spacing w:after="0" w:line="240" w:lineRule="auto"/>
                          <w:jc w:val="center"/>
                        </w:pPr>
                      </w:p>
                      <w:p w14:paraId="7FE36060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PROJEKTUOTOJAS</w:t>
                        </w:r>
                      </w:p>
                      <w:p w14:paraId="7FE36061" w14:textId="77777777" w:rsidR="00F37D60" w:rsidRDefault="00F37D60">
                        <w:pPr>
                          <w:spacing w:after="0" w:line="240" w:lineRule="auto"/>
                          <w:jc w:val="center"/>
                        </w:pPr>
                      </w:p>
                      <w:p w14:paraId="7FE36062" w14:textId="77777777" w:rsidR="00F37D60" w:rsidRDefault="00F37D60">
                        <w:pPr>
                          <w:spacing w:after="0" w:line="240" w:lineRule="auto"/>
                          <w:jc w:val="center"/>
                        </w:pPr>
                      </w:p>
                      <w:p w14:paraId="7FE36063" w14:textId="77777777" w:rsidR="00F37D60" w:rsidRDefault="00170AD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</w:tr>
                </w:tbl>
                <w:p w14:paraId="7FE36065" w14:textId="77777777" w:rsidR="00F37D60" w:rsidRDefault="00F37D60">
                  <w:pPr>
                    <w:spacing w:after="0" w:line="240" w:lineRule="auto"/>
                  </w:pPr>
                </w:p>
              </w:tc>
            </w:tr>
          </w:tbl>
          <w:p w14:paraId="7FE36067" w14:textId="77777777" w:rsidR="00F37D60" w:rsidRDefault="00F37D60">
            <w:pPr>
              <w:spacing w:after="0" w:line="240" w:lineRule="auto"/>
            </w:pPr>
          </w:p>
        </w:tc>
        <w:tc>
          <w:tcPr>
            <w:tcW w:w="614" w:type="dxa"/>
          </w:tcPr>
          <w:p w14:paraId="7FE36068" w14:textId="77777777" w:rsidR="00F37D60" w:rsidRDefault="00F37D60">
            <w:pPr>
              <w:pStyle w:val="EmptyCellLayoutStyle"/>
              <w:spacing w:after="0" w:line="240" w:lineRule="auto"/>
            </w:pPr>
          </w:p>
        </w:tc>
      </w:tr>
      <w:tr w:rsidR="00F37D60" w14:paraId="7FE3606D" w14:textId="77777777">
        <w:trPr>
          <w:trHeight w:val="952"/>
        </w:trPr>
        <w:tc>
          <w:tcPr>
            <w:tcW w:w="638" w:type="dxa"/>
          </w:tcPr>
          <w:p w14:paraId="7FE3606A" w14:textId="77777777" w:rsidR="00F37D60" w:rsidRDefault="00F37D60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7FE3606B" w14:textId="77777777" w:rsidR="00F37D60" w:rsidRDefault="00F37D60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7FE3606C" w14:textId="77777777" w:rsidR="00F37D60" w:rsidRDefault="00F37D60">
            <w:pPr>
              <w:pStyle w:val="EmptyCellLayoutStyle"/>
              <w:spacing w:after="0" w:line="240" w:lineRule="auto"/>
            </w:pPr>
          </w:p>
        </w:tc>
      </w:tr>
    </w:tbl>
    <w:p w14:paraId="7FE3606E" w14:textId="77777777" w:rsidR="00F37D60" w:rsidRDefault="00F37D60">
      <w:pPr>
        <w:spacing w:after="0" w:line="240" w:lineRule="auto"/>
      </w:pPr>
    </w:p>
    <w:sectPr w:rsidR="00F37D60">
      <w:pgSz w:w="12584" w:h="16837"/>
      <w:pgMar w:top="1559" w:right="566" w:bottom="1133" w:left="992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1012959">
    <w:abstractNumId w:val="0"/>
  </w:num>
  <w:num w:numId="2" w16cid:durableId="876623328">
    <w:abstractNumId w:val="1"/>
  </w:num>
  <w:num w:numId="3" w16cid:durableId="1522623219">
    <w:abstractNumId w:val="2"/>
  </w:num>
  <w:num w:numId="4" w16cid:durableId="1235385926">
    <w:abstractNumId w:val="3"/>
  </w:num>
  <w:num w:numId="5" w16cid:durableId="385227795">
    <w:abstractNumId w:val="4"/>
  </w:num>
  <w:num w:numId="6" w16cid:durableId="1716923846">
    <w:abstractNumId w:val="5"/>
  </w:num>
  <w:num w:numId="7" w16cid:durableId="446044852">
    <w:abstractNumId w:val="6"/>
  </w:num>
  <w:num w:numId="8" w16cid:durableId="1478573129">
    <w:abstractNumId w:val="7"/>
  </w:num>
  <w:num w:numId="9" w16cid:durableId="1350064371">
    <w:abstractNumId w:val="8"/>
  </w:num>
  <w:num w:numId="10" w16cid:durableId="760414977">
    <w:abstractNumId w:val="9"/>
  </w:num>
  <w:num w:numId="11" w16cid:durableId="1062874087">
    <w:abstractNumId w:val="10"/>
  </w:num>
  <w:num w:numId="12" w16cid:durableId="113838064">
    <w:abstractNumId w:val="11"/>
  </w:num>
  <w:num w:numId="13" w16cid:durableId="1101337095">
    <w:abstractNumId w:val="12"/>
  </w:num>
  <w:num w:numId="14" w16cid:durableId="1667323243">
    <w:abstractNumId w:val="13"/>
  </w:num>
  <w:num w:numId="15" w16cid:durableId="168639397">
    <w:abstractNumId w:val="14"/>
  </w:num>
  <w:num w:numId="16" w16cid:durableId="1811631768">
    <w:abstractNumId w:val="15"/>
  </w:num>
  <w:num w:numId="17" w16cid:durableId="1314338220">
    <w:abstractNumId w:val="16"/>
  </w:num>
  <w:num w:numId="18" w16cid:durableId="1679192550">
    <w:abstractNumId w:val="17"/>
  </w:num>
  <w:num w:numId="19" w16cid:durableId="1569803456">
    <w:abstractNumId w:val="18"/>
  </w:num>
  <w:num w:numId="20" w16cid:durableId="869104307">
    <w:abstractNumId w:val="19"/>
  </w:num>
  <w:num w:numId="21" w16cid:durableId="2018533909">
    <w:abstractNumId w:val="20"/>
  </w:num>
  <w:num w:numId="22" w16cid:durableId="1832404181">
    <w:abstractNumId w:val="21"/>
  </w:num>
  <w:num w:numId="23" w16cid:durableId="1597246042">
    <w:abstractNumId w:val="22"/>
  </w:num>
  <w:num w:numId="24" w16cid:durableId="19245603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D60"/>
    <w:rsid w:val="00170AD3"/>
    <w:rsid w:val="00215969"/>
    <w:rsid w:val="002E242E"/>
    <w:rsid w:val="00AB770F"/>
    <w:rsid w:val="00F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6023"/>
  <w15:docId w15:val="{1EDB6F9A-181A-4D76-BF7B-5DBC39DC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2934</Words>
  <Characters>1673</Characters>
  <Application>Microsoft Office Word</Application>
  <DocSecurity>0</DocSecurity>
  <Lines>13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creator/>
  <dc:description/>
  <cp:lastModifiedBy>Virginijus Mikalauskis</cp:lastModifiedBy>
  <cp:revision>4</cp:revision>
  <dcterms:created xsi:type="dcterms:W3CDTF">2025-01-09T12:23:00Z</dcterms:created>
  <dcterms:modified xsi:type="dcterms:W3CDTF">2025-01-09T12:25:00Z</dcterms:modified>
</cp:coreProperties>
</file>