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01C8A470" w:rsidR="00B47DC6" w:rsidRPr="005C7B19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C7B1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 viešajame pirkime</w:t>
      </w:r>
      <w:r w:rsidR="00421AEB" w:rsidRPr="005C7B19">
        <w:rPr>
          <w:rFonts w:ascii="Times New Roman" w:hAnsi="Times New Roman" w:cs="Times New Roman"/>
          <w:sz w:val="28"/>
          <w:szCs w:val="28"/>
          <w:lang w:val="lt-LT"/>
        </w:rPr>
        <w:t xml:space="preserve"> „</w:t>
      </w:r>
      <w:r w:rsidR="003B0B3D" w:rsidRPr="005C7B19">
        <w:rPr>
          <w:rFonts w:ascii="Times New Roman" w:hAnsi="Times New Roman" w:cs="Times New Roman"/>
          <w:sz w:val="28"/>
          <w:szCs w:val="28"/>
          <w:lang w:val="lt-LT"/>
        </w:rPr>
        <w:t>medžiagų smūginio stiprio (charpy) tyrimų laboratorinė įranga</w:t>
      </w:r>
      <w:r w:rsidR="009E3956" w:rsidRPr="005C7B19">
        <w:rPr>
          <w:rFonts w:ascii="Times New Roman" w:hAnsi="Times New Roman" w:cs="Times New Roman"/>
          <w:sz w:val="28"/>
          <w:szCs w:val="28"/>
          <w:lang w:val="lt-LT"/>
        </w:rPr>
        <w:t>”</w:t>
      </w:r>
    </w:p>
    <w:p w14:paraId="25AE8CEA" w14:textId="77777777" w:rsidR="00B47DC6" w:rsidRPr="005C7B19" w:rsidRDefault="00B47DC6" w:rsidP="00B47DC6">
      <w:pPr>
        <w:spacing w:after="0"/>
        <w:ind w:firstLine="720"/>
        <w:jc w:val="both"/>
        <w:rPr>
          <w:lang w:val="lt-LT"/>
        </w:rPr>
      </w:pPr>
    </w:p>
    <w:p w14:paraId="3460C1C1" w14:textId="4440B83F" w:rsidR="00B47DC6" w:rsidRPr="005C7B19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8248FB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5C7B19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vasario</w:t>
      </w:r>
      <w:r w:rsidR="005D5D71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5C7B19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10.00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25315C"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p</w:t>
      </w:r>
      <w:r w:rsidR="0025315C"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rekės</w:t>
      </w:r>
      <w:r w:rsidR="00421AEB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25315C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1</w:t>
      </w:r>
      <w:r w:rsidR="00FE370E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77777777" w:rsidR="00497A74" w:rsidRPr="005C7B19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C7B19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5C7B19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pristatyti būsimą pirkimą galimiems teikėjams ir gauti konsultacijas kaip perkančiajai organizacijai įsigyti jos poreikius atitinkanči</w:t>
      </w:r>
      <w:r w:rsidR="0025315C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5C7B19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5C7B19">
        <w:rPr>
          <w:rFonts w:cs="Times New Roman"/>
          <w:color w:val="4472C4" w:themeColor="accent1"/>
          <w:lang w:val="lt-LT"/>
        </w:rPr>
        <w:t>PRIDEDAMA:</w:t>
      </w:r>
      <w:r w:rsidRPr="005C7B19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5C7B19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5C7B19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Pr="005C7B19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Pr="005C7B19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lastRenderedPageBreak/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5C7B19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5C7B19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Konfidencialu</w:t>
            </w:r>
            <w:r w:rsidRPr="005C7B19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footnoteReference w:id="1"/>
            </w:r>
          </w:p>
        </w:tc>
      </w:tr>
      <w:tr w:rsidR="00497A74" w:rsidRPr="005C7B19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5C7B19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5C7B19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5C7B19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C7B19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5C7B19" w:rsidRDefault="00060CC3">
      <w:pPr>
        <w:rPr>
          <w:lang w:val="lt-LT"/>
        </w:rPr>
      </w:pPr>
    </w:p>
    <w:sectPr w:rsidR="00060CC3" w:rsidRPr="005C7B19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89AF" w14:textId="77777777" w:rsidR="00970021" w:rsidRDefault="00970021" w:rsidP="00B47DC6">
      <w:pPr>
        <w:spacing w:after="0" w:line="240" w:lineRule="auto"/>
      </w:pPr>
      <w:r>
        <w:separator/>
      </w:r>
    </w:p>
  </w:endnote>
  <w:endnote w:type="continuationSeparator" w:id="0">
    <w:p w14:paraId="44C75699" w14:textId="77777777" w:rsidR="00970021" w:rsidRDefault="0097002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7EB2" w14:textId="77777777" w:rsidR="00970021" w:rsidRDefault="00970021" w:rsidP="00B47DC6">
      <w:pPr>
        <w:spacing w:after="0" w:line="240" w:lineRule="auto"/>
      </w:pPr>
      <w:r>
        <w:separator/>
      </w:r>
    </w:p>
  </w:footnote>
  <w:footnote w:type="continuationSeparator" w:id="0">
    <w:p w14:paraId="174DB8F1" w14:textId="77777777" w:rsidR="00970021" w:rsidRDefault="0097002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1EE9"/>
    <w:rsid w:val="000E1B9E"/>
    <w:rsid w:val="000E2575"/>
    <w:rsid w:val="001419C2"/>
    <w:rsid w:val="00150ACA"/>
    <w:rsid w:val="00194C9B"/>
    <w:rsid w:val="001A666D"/>
    <w:rsid w:val="001B696E"/>
    <w:rsid w:val="00215C08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3244DD"/>
    <w:rsid w:val="003725A6"/>
    <w:rsid w:val="00392B05"/>
    <w:rsid w:val="003B0B3D"/>
    <w:rsid w:val="003D1DDC"/>
    <w:rsid w:val="00406667"/>
    <w:rsid w:val="00410E32"/>
    <w:rsid w:val="00421AEB"/>
    <w:rsid w:val="0043204E"/>
    <w:rsid w:val="00491CC6"/>
    <w:rsid w:val="00497A74"/>
    <w:rsid w:val="004E2B12"/>
    <w:rsid w:val="00530CAA"/>
    <w:rsid w:val="00567A61"/>
    <w:rsid w:val="00584600"/>
    <w:rsid w:val="005B0B25"/>
    <w:rsid w:val="005C7B19"/>
    <w:rsid w:val="005D5D71"/>
    <w:rsid w:val="005E03AB"/>
    <w:rsid w:val="005F66F5"/>
    <w:rsid w:val="0062002D"/>
    <w:rsid w:val="00663DA4"/>
    <w:rsid w:val="0068475C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21DF2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27</cp:revision>
  <dcterms:created xsi:type="dcterms:W3CDTF">2023-07-14T06:45:00Z</dcterms:created>
  <dcterms:modified xsi:type="dcterms:W3CDTF">2025-01-30T11:13:00Z</dcterms:modified>
</cp:coreProperties>
</file>