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0DDC9D9C" w:rsidR="00A044A2" w:rsidRPr="00913365" w:rsidRDefault="00235289" w:rsidP="00913365">
      <w:pPr>
        <w:autoSpaceDE w:val="0"/>
        <w:autoSpaceDN w:val="0"/>
        <w:adjustRightInd w:val="0"/>
        <w:jc w:val="center"/>
        <w:rPr>
          <w:rFonts w:eastAsiaTheme="minorHAnsi"/>
          <w:b/>
          <w:bCs/>
          <w:color w:val="000000" w:themeColor="text1"/>
        </w:rPr>
      </w:pPr>
      <w:r w:rsidRPr="00235289">
        <w:rPr>
          <w:rFonts w:eastAsiaTheme="minorHAnsi"/>
          <w:b/>
          <w:bCs/>
          <w:color w:val="000000" w:themeColor="text1"/>
        </w:rPr>
        <w:t>DUOMENŲ APSAUGOS PAREIGŪNO PASLAUGŲ CENTRALIZUOTO TEIKIMO SAVIVALDYBĖS BIUDŽETINĖMS ĮSTAIGOMS</w:t>
      </w:r>
      <w:r w:rsidR="00913365">
        <w:rPr>
          <w:rFonts w:eastAsia="Calibri"/>
          <w:b/>
        </w:rPr>
        <w:t xml:space="preserve"> PIRKIMO</w:t>
      </w:r>
      <w:r w:rsidR="00913365" w:rsidRPr="001E2673">
        <w:rPr>
          <w:b/>
        </w:rPr>
        <w:t xml:space="preserve"> </w:t>
      </w:r>
      <w:r>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7777777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0D978BF8" w14:textId="0316A5AA" w:rsidR="00724BA0" w:rsidRDefault="008545A7" w:rsidP="00B45AD1">
      <w:pPr>
        <w:widowControl w:val="0"/>
        <w:jc w:val="both"/>
      </w:pPr>
      <w:r w:rsidRPr="00480400">
        <w:t>3</w:t>
      </w:r>
      <w:r w:rsidR="00F61830" w:rsidRPr="00480400">
        <w:t xml:space="preserve"> priedas –</w:t>
      </w:r>
      <w:r w:rsidR="007D3FAC" w:rsidRPr="00480400">
        <w:t xml:space="preserve"> </w:t>
      </w:r>
      <w:r w:rsidR="003E74F0">
        <w:t>S</w:t>
      </w:r>
      <w:r w:rsidR="00724BA0">
        <w:t>uteiktų paslaugų sąrašo forma;</w:t>
      </w:r>
    </w:p>
    <w:p w14:paraId="1F58264E" w14:textId="78A54B6E" w:rsidR="005B7F20" w:rsidRPr="00480400" w:rsidRDefault="00724BA0" w:rsidP="00B45AD1">
      <w:pPr>
        <w:widowControl w:val="0"/>
        <w:jc w:val="both"/>
      </w:pPr>
      <w:r>
        <w:t xml:space="preserve">4 priedas - </w:t>
      </w:r>
      <w:r w:rsidR="002539F9">
        <w:t>Specialistų sąrašo</w:t>
      </w:r>
      <w:r w:rsidR="00480400" w:rsidRPr="00480400">
        <w:t xml:space="preserve"> forma;</w:t>
      </w:r>
    </w:p>
    <w:p w14:paraId="1BC18989" w14:textId="13359E01" w:rsidR="003B5573" w:rsidRPr="00BE1382" w:rsidRDefault="00235289" w:rsidP="000967A1">
      <w:pPr>
        <w:widowControl w:val="0"/>
        <w:jc w:val="both"/>
      </w:pPr>
      <w:r>
        <w:t>5</w:t>
      </w:r>
      <w:r w:rsidR="003B5573" w:rsidRPr="00BE1382">
        <w:t xml:space="preserve"> </w:t>
      </w:r>
      <w:r w:rsidR="003B5573" w:rsidRPr="003066D2">
        <w:t>priedas –</w:t>
      </w:r>
      <w:r w:rsidR="002539F9" w:rsidRPr="002539F9">
        <w:t xml:space="preserve"> Paslaugų sutartis (projektas</w:t>
      </w:r>
      <w:r w:rsidR="003B5573">
        <w:t>;</w:t>
      </w:r>
    </w:p>
    <w:p w14:paraId="6120F340" w14:textId="62A237E5" w:rsidR="006C5212" w:rsidRDefault="00235289"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505AFE6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235289" w:rsidRPr="00235289">
        <w:rPr>
          <w:rFonts w:eastAsiaTheme="minorHAnsi"/>
          <w:b/>
          <w:bCs/>
          <w:color w:val="000000" w:themeColor="text1"/>
        </w:rPr>
        <w:t>duomenų apsaugos pareigūno paslaugų centralizuotą teikimą savivaldybės biudžetinėms įstaigoms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60F68F92" w:rsidR="006273F7" w:rsidRPr="00A76196" w:rsidRDefault="00B45AD1"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Pr="00F77F11">
        <w:rPr>
          <w:rFonts w:eastAsia="Times New Roman"/>
          <w:color w:val="000000" w:themeColor="text1"/>
          <w:sz w:val="24"/>
          <w:szCs w:val="24"/>
        </w:rPr>
        <w:t xml:space="preserve"> </w:t>
      </w:r>
      <w:bookmarkStart w:id="5" w:name="_Hlk188627755"/>
      <w:bookmarkStart w:id="6" w:name="_Hlk183076322"/>
      <w:r w:rsidR="00235289" w:rsidRPr="00235289">
        <w:rPr>
          <w:rFonts w:eastAsia="Times New Roman"/>
          <w:color w:val="000000" w:themeColor="text1"/>
          <w:sz w:val="24"/>
          <w:szCs w:val="24"/>
        </w:rPr>
        <w:t>Klaipėdos miesto savivaldybės administracijos Duomenų apsaugos pareigūnė Raminta Virvičienė, tel. (</w:t>
      </w:r>
      <w:r w:rsidR="00235289">
        <w:rPr>
          <w:rFonts w:eastAsia="Times New Roman"/>
          <w:color w:val="000000" w:themeColor="text1"/>
          <w:sz w:val="24"/>
          <w:szCs w:val="24"/>
        </w:rPr>
        <w:t>0</w:t>
      </w:r>
      <w:r w:rsidR="00235289" w:rsidRPr="00235289">
        <w:rPr>
          <w:rFonts w:eastAsia="Times New Roman"/>
          <w:color w:val="000000" w:themeColor="text1"/>
          <w:sz w:val="24"/>
          <w:szCs w:val="24"/>
        </w:rPr>
        <w:t xml:space="preserve"> 46) 39 60 04, el. p. raminta.virviciene@klaipeda.lt</w:t>
      </w:r>
      <w:bookmarkEnd w:id="5"/>
      <w:r w:rsidR="00C17BF5" w:rsidRPr="00A76196">
        <w:rPr>
          <w:rFonts w:eastAsia="Times New Roman"/>
          <w:sz w:val="24"/>
          <w:szCs w:val="24"/>
          <w:lang w:val="en-US"/>
        </w:rPr>
        <w:t xml:space="preserve">; </w:t>
      </w:r>
      <w:bookmarkEnd w:id="6"/>
      <w:r w:rsidR="00C17BF5" w:rsidRPr="00A76196">
        <w:rPr>
          <w:rFonts w:eastAsia="Times New Roman"/>
          <w:b/>
          <w:bCs/>
          <w:sz w:val="24"/>
          <w:szCs w:val="24"/>
        </w:rPr>
        <w:t xml:space="preserve">dėl klausimų, susijusių su viešojo pirkimo procedūromis – </w:t>
      </w:r>
      <w:r w:rsidR="00C17BF5" w:rsidRPr="00A76196">
        <w:rPr>
          <w:rFonts w:eastAsia="Times New Roman"/>
          <w:sz w:val="24"/>
          <w:szCs w:val="24"/>
        </w:rPr>
        <w:t xml:space="preserve">Viešųjų pirkimų skyriaus </w:t>
      </w:r>
      <w:r w:rsidR="00C17BF5" w:rsidRPr="00A76196">
        <w:rPr>
          <w:sz w:val="24"/>
          <w:szCs w:val="24"/>
        </w:rPr>
        <w:t xml:space="preserve">vyr. specialistė </w:t>
      </w:r>
      <w:r w:rsidR="00C17BF5" w:rsidRPr="00A76196">
        <w:rPr>
          <w:rFonts w:eastAsiaTheme="minorHAnsi"/>
          <w:sz w:val="24"/>
          <w:szCs w:val="24"/>
        </w:rPr>
        <w:t>Aurelija Umantaitė</w:t>
      </w:r>
      <w:r w:rsidR="00C17BF5" w:rsidRPr="00A76196">
        <w:rPr>
          <w:rFonts w:eastAsia="Times New Roman"/>
          <w:sz w:val="24"/>
          <w:szCs w:val="24"/>
        </w:rPr>
        <w:t xml:space="preserve">, tel. (0 46) 39 61 32, el. p. </w:t>
      </w:r>
      <w:hyperlink r:id="rId10" w:history="1">
        <w:r w:rsidR="00C17BF5" w:rsidRPr="00A76196">
          <w:rPr>
            <w:rStyle w:val="Hipersaitas"/>
            <w:rFonts w:eastAsia="Times New Roman"/>
            <w:color w:val="auto"/>
            <w:sz w:val="24"/>
            <w:szCs w:val="24"/>
            <w:u w:val="none"/>
          </w:rPr>
          <w:t>aurelija.umantaite@klaipeda.lt</w:t>
        </w:r>
      </w:hyperlink>
      <w:r w:rsidR="002A3338" w:rsidRPr="005A7D29">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13FC2A75" w:rsidR="00857491" w:rsidRPr="006C3613" w:rsidRDefault="00C82676" w:rsidP="00DA7360">
      <w:pPr>
        <w:pStyle w:val="Sraopastraipa"/>
        <w:widowControl w:val="0"/>
        <w:numPr>
          <w:ilvl w:val="0"/>
          <w:numId w:val="1"/>
        </w:numPr>
        <w:tabs>
          <w:tab w:val="left" w:pos="1134"/>
        </w:tabs>
        <w:jc w:val="both"/>
        <w:rPr>
          <w:sz w:val="24"/>
          <w:szCs w:val="24"/>
        </w:rPr>
      </w:pPr>
      <w:r w:rsidRPr="006C3613">
        <w:rPr>
          <w:b/>
          <w:sz w:val="24"/>
          <w:szCs w:val="24"/>
        </w:rPr>
        <w:t>Pirkimo objektas –</w:t>
      </w:r>
      <w:bookmarkStart w:id="7" w:name="Pirmad"/>
      <w:r w:rsidR="00C710A4" w:rsidRPr="006C3613">
        <w:rPr>
          <w:b/>
          <w:sz w:val="24"/>
          <w:szCs w:val="24"/>
        </w:rPr>
        <w:t xml:space="preserve"> </w:t>
      </w:r>
      <w:r w:rsidR="00184A77" w:rsidRPr="006C3613">
        <w:rPr>
          <w:b/>
          <w:sz w:val="24"/>
          <w:szCs w:val="24"/>
        </w:rPr>
        <w:t xml:space="preserve">duomenų apsaugos pareigūno paslaugų centralizuotas teikimas savivaldybės biudžetinėms įstaigoms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8" w:name="_Hlk183521463"/>
      <w:r w:rsidR="001B1699" w:rsidRPr="006C3613">
        <w:rPr>
          <w:sz w:val="24"/>
          <w:szCs w:val="24"/>
        </w:rPr>
        <w:t>Išsamesnė perkamų paslaugų informacija ir reikalavimai pateikiami</w:t>
      </w:r>
      <w:bookmarkEnd w:id="8"/>
      <w:r w:rsidR="0049394F" w:rsidRPr="006C3613">
        <w:rPr>
          <w:sz w:val="24"/>
          <w:szCs w:val="24"/>
        </w:rPr>
        <w:t xml:space="preserve"> techninėje specifikacijoje (konkurso sąlygų aprašo 2 priedas)</w:t>
      </w:r>
      <w:r w:rsidR="00857491" w:rsidRPr="006C3613">
        <w:rPr>
          <w:sz w:val="24"/>
          <w:szCs w:val="24"/>
        </w:rPr>
        <w:t>. Prievolių įvykdymo terminai bei kitos pirkimo sutarties sąlygos nurodytos konkurso sąlygų aprašo 5 priede.</w:t>
      </w:r>
      <w:bookmarkStart w:id="9" w:name="_Hlk184302865"/>
      <w:r w:rsidR="006F3FF9" w:rsidRPr="006C3613">
        <w:rPr>
          <w:b/>
          <w:bCs/>
          <w:sz w:val="24"/>
          <w:szCs w:val="24"/>
        </w:rPr>
        <w:t xml:space="preserve"> </w:t>
      </w:r>
      <w:bookmarkStart w:id="10" w:name="_Hlk188887047"/>
      <w:r w:rsidR="006F3FF9" w:rsidRPr="006C3613">
        <w:rPr>
          <w:b/>
          <w:bCs/>
          <w:sz w:val="24"/>
          <w:szCs w:val="24"/>
        </w:rPr>
        <w:t>Tiekėj</w:t>
      </w:r>
      <w:r w:rsidR="006C3613">
        <w:rPr>
          <w:b/>
          <w:bCs/>
          <w:sz w:val="24"/>
          <w:szCs w:val="24"/>
        </w:rPr>
        <w:t>o</w:t>
      </w:r>
      <w:r w:rsidR="006F3FF9" w:rsidRPr="006C3613">
        <w:rPr>
          <w:b/>
          <w:bCs/>
          <w:sz w:val="24"/>
          <w:szCs w:val="24"/>
        </w:rPr>
        <w:t xml:space="preserve"> pasiūlym</w:t>
      </w:r>
      <w:r w:rsidR="006C3613">
        <w:rPr>
          <w:b/>
          <w:bCs/>
          <w:sz w:val="24"/>
          <w:szCs w:val="24"/>
        </w:rPr>
        <w:t>o</w:t>
      </w:r>
      <w:r w:rsidR="006F3FF9" w:rsidRPr="006C3613">
        <w:rPr>
          <w:b/>
          <w:bCs/>
          <w:sz w:val="24"/>
          <w:szCs w:val="24"/>
        </w:rPr>
        <w:t xml:space="preserve"> kain</w:t>
      </w:r>
      <w:r w:rsidR="006C3613">
        <w:rPr>
          <w:b/>
          <w:bCs/>
          <w:sz w:val="24"/>
          <w:szCs w:val="24"/>
        </w:rPr>
        <w:t>a</w:t>
      </w:r>
      <w:r w:rsidR="006F3FF9" w:rsidRPr="006C3613">
        <w:rPr>
          <w:b/>
          <w:bCs/>
          <w:sz w:val="24"/>
          <w:szCs w:val="24"/>
        </w:rPr>
        <w:t xml:space="preserve"> negali viršyti </w:t>
      </w:r>
      <w:bookmarkStart w:id="11" w:name="_Hlk188886533"/>
      <w:r w:rsidR="006F3FF9" w:rsidRPr="006C3613">
        <w:rPr>
          <w:b/>
          <w:bCs/>
          <w:sz w:val="24"/>
          <w:szCs w:val="24"/>
        </w:rPr>
        <w:t xml:space="preserve">98 010 Eur </w:t>
      </w:r>
      <w:bookmarkEnd w:id="11"/>
      <w:r w:rsidR="006F3FF9" w:rsidRPr="006C3613">
        <w:rPr>
          <w:b/>
          <w:bCs/>
          <w:sz w:val="24"/>
          <w:szCs w:val="24"/>
        </w:rPr>
        <w:t>su PVM</w:t>
      </w:r>
      <w:bookmarkEnd w:id="9"/>
      <w:r w:rsidR="006C3613" w:rsidRPr="006C3613">
        <w:rPr>
          <w:b/>
          <w:bCs/>
          <w:sz w:val="24"/>
          <w:szCs w:val="24"/>
        </w:rPr>
        <w:t>. Tiekėjo</w:t>
      </w:r>
      <w:r w:rsidR="00943445">
        <w:rPr>
          <w:b/>
          <w:bCs/>
          <w:sz w:val="24"/>
          <w:szCs w:val="24"/>
        </w:rPr>
        <w:t xml:space="preserve"> </w:t>
      </w:r>
      <w:r w:rsidR="00943445" w:rsidRPr="00277F7F">
        <w:rPr>
          <w:sz w:val="24"/>
          <w:szCs w:val="24"/>
        </w:rPr>
        <w:t>(nepriklausomai ar PVM mokėtojo, ar ne PVM mokėtojo)</w:t>
      </w:r>
      <w:r w:rsidR="006C3613" w:rsidRPr="006C3613">
        <w:rPr>
          <w:b/>
          <w:bCs/>
          <w:sz w:val="24"/>
          <w:szCs w:val="24"/>
        </w:rPr>
        <w:t xml:space="preserve"> pasiūlymo kainai viršijus </w:t>
      </w:r>
      <w:r w:rsidR="006C3613" w:rsidRPr="006C3613">
        <w:rPr>
          <w:b/>
          <w:bCs/>
          <w:sz w:val="24"/>
          <w:szCs w:val="24"/>
        </w:rPr>
        <w:t>98 010 Eur</w:t>
      </w:r>
      <w:r w:rsidR="006C3613" w:rsidRPr="006C3613">
        <w:rPr>
          <w:b/>
          <w:bCs/>
          <w:sz w:val="24"/>
          <w:szCs w:val="24"/>
        </w:rPr>
        <w:t xml:space="preserve">, tokia </w:t>
      </w:r>
      <w:r w:rsidR="003609D2" w:rsidRPr="006C3613">
        <w:rPr>
          <w:b/>
          <w:bCs/>
          <w:sz w:val="24"/>
          <w:szCs w:val="24"/>
        </w:rPr>
        <w:t>kaina bus laikoma per didele ir Perkančiajai organizacijai nepriimtina</w:t>
      </w:r>
      <w:bookmarkEnd w:id="10"/>
      <w:r w:rsidR="00B22170">
        <w:rPr>
          <w:b/>
          <w:bCs/>
          <w:sz w:val="24"/>
          <w:szCs w:val="24"/>
        </w:rPr>
        <w:t>.</w:t>
      </w:r>
      <w:r w:rsidR="006C3613" w:rsidRPr="006C3613">
        <w:t xml:space="preserve"> </w:t>
      </w:r>
    </w:p>
    <w:bookmarkEnd w:id="7"/>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7EA444B7" w14:textId="11C6F497" w:rsidR="00302C77" w:rsidRPr="001559E0" w:rsidRDefault="00857491" w:rsidP="001559E0">
      <w:pPr>
        <w:widowControl w:val="0"/>
        <w:numPr>
          <w:ilvl w:val="0"/>
          <w:numId w:val="1"/>
        </w:numPr>
        <w:tabs>
          <w:tab w:val="num" w:pos="1134"/>
          <w:tab w:val="left" w:pos="1276"/>
        </w:tabs>
        <w:ind w:firstLine="719"/>
        <w:jc w:val="both"/>
        <w:rPr>
          <w:b/>
          <w:color w:val="FF0000"/>
        </w:rPr>
      </w:pPr>
      <w:bookmarkStart w:id="12"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 </w:t>
      </w:r>
      <w:bookmarkStart w:id="13" w:name="_Hlk188622625"/>
      <w:r w:rsidRPr="00E01B29">
        <w:rPr>
          <w:rFonts w:eastAsiaTheme="minorHAnsi"/>
        </w:rPr>
        <w:t>4</w:t>
      </w:r>
      <w:r w:rsidRPr="005E6ADA">
        <w:rPr>
          <w:rFonts w:eastAsiaTheme="minorHAnsi"/>
        </w:rPr>
        <w:t>.4.3. p</w:t>
      </w:r>
      <w:r w:rsidR="0010750F">
        <w:rPr>
          <w:rFonts w:eastAsiaTheme="minorHAnsi"/>
        </w:rPr>
        <w:t>. perkamos paslaugos</w:t>
      </w:r>
      <w:r>
        <w:rPr>
          <w:rFonts w:eastAsia="TimesNewRomanPS-BoldMT"/>
        </w:rPr>
        <w:t xml:space="preserve"> yra </w:t>
      </w:r>
      <w:r w:rsidRPr="005E6ADA">
        <w:t xml:space="preserve">nematerialaus pobūdžio (intelektinė) ar kitokia paslauga, nesusijusi su materialaus objekto sukūrimu, kurios teikimo metu nėra </w:t>
      </w:r>
      <w:bookmarkStart w:id="14" w:name="_Hlk188622604"/>
      <w:r w:rsidRPr="005E6ADA">
        <w:t>numatomas reikšmingas neigiamas poveikis aplinkai, nesukuriamas taršos šaltinis ir negeneruojamos atliekos</w:t>
      </w:r>
      <w:bookmarkEnd w:id="14"/>
      <w:bookmarkEnd w:id="13"/>
      <w:r>
        <w:t>.</w:t>
      </w:r>
      <w:bookmarkEnd w:id="12"/>
    </w:p>
    <w:p w14:paraId="53F283B3" w14:textId="3AE8BEB5" w:rsidR="009E2BED" w:rsidRPr="007E2799" w:rsidRDefault="009E2BED" w:rsidP="009E2BED">
      <w:pPr>
        <w:pStyle w:val="Sraopastraipa"/>
        <w:numPr>
          <w:ilvl w:val="0"/>
          <w:numId w:val="1"/>
        </w:numPr>
        <w:tabs>
          <w:tab w:val="left" w:pos="1134"/>
        </w:tabs>
        <w:jc w:val="both"/>
        <w:rPr>
          <w:vanish/>
          <w:sz w:val="24"/>
          <w:szCs w:val="24"/>
        </w:rPr>
      </w:pPr>
      <w:r w:rsidRPr="007E2799">
        <w:rPr>
          <w:b/>
          <w:bCs/>
          <w:sz w:val="24"/>
          <w:szCs w:val="24"/>
        </w:rPr>
        <w:lastRenderedPageBreak/>
        <w:t>Perkančiosios organizacijos sprendimo neatlikti pirkimo naudojantis centrinės perkančiosios organizacijos (CPO LT) paslaugomis argumentai</w:t>
      </w:r>
      <w:r w:rsidRPr="007E2799">
        <w:rPr>
          <w:sz w:val="24"/>
          <w:szCs w:val="24"/>
        </w:rPr>
        <w:t>, kaip numatyta</w:t>
      </w:r>
      <w:r w:rsidR="005F3666" w:rsidRPr="005F3666">
        <w:t xml:space="preserve"> </w:t>
      </w:r>
      <w:r w:rsidR="005F3666">
        <w:t>VPĮ</w:t>
      </w:r>
      <w:r w:rsidRPr="007E2799">
        <w:rPr>
          <w:sz w:val="24"/>
          <w:szCs w:val="24"/>
        </w:rPr>
        <w:t xml:space="preserve"> 82 straipsnio 2 dalies 1 punkte: </w:t>
      </w:r>
    </w:p>
    <w:p w14:paraId="0C91E45D" w14:textId="1627D4DE" w:rsidR="009E2BED" w:rsidRDefault="00910291" w:rsidP="009E2BED">
      <w:pPr>
        <w:pStyle w:val="Sraopastraipa"/>
        <w:tabs>
          <w:tab w:val="left" w:pos="1134"/>
        </w:tabs>
        <w:ind w:left="710"/>
        <w:jc w:val="both"/>
        <w:rPr>
          <w:sz w:val="24"/>
          <w:szCs w:val="24"/>
        </w:rPr>
      </w:pPr>
      <w:r w:rsidRPr="00910291">
        <w:rPr>
          <w:sz w:val="24"/>
          <w:szCs w:val="24"/>
        </w:rPr>
        <w:t>CPO LT centralizuotų pirkimų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2301C94"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6E623C">
        <w:rPr>
          <w:sz w:val="24"/>
          <w:szCs w:val="24"/>
        </w:rPr>
        <w:t>6</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1"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5" w:name="_Hlk181604596"/>
      <w:bookmarkStart w:id="16"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955421">
            <w:pPr>
              <w:jc w:val="both"/>
            </w:pPr>
            <w:r w:rsidRPr="005206EB">
              <w:t>1</w:t>
            </w:r>
            <w:r>
              <w:t>5</w:t>
            </w:r>
            <w:r w:rsidRPr="005206EB">
              <w:t>.1.1.</w:t>
            </w:r>
          </w:p>
        </w:tc>
        <w:tc>
          <w:tcPr>
            <w:tcW w:w="4678"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1A0D46">
              <w:lastRenderedPageBreak/>
              <w:t>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Perkančiosios organizacijos prašymu turės pateikti pašalinimo pagrindų nebuvimą patvirtinančius </w:t>
            </w:r>
            <w:r w:rsidRPr="001A0D46">
              <w:rPr>
                <w:lang w:eastAsia="lt-LT"/>
              </w:rPr>
              <w:lastRenderedPageBreak/>
              <w:t>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4E90E327" w14:textId="77777777" w:rsidTr="00B507BD">
        <w:tc>
          <w:tcPr>
            <w:tcW w:w="709" w:type="dxa"/>
          </w:tcPr>
          <w:p w14:paraId="14F51815" w14:textId="033E049E" w:rsidR="00B507BD" w:rsidRPr="005206EB" w:rsidRDefault="00B507BD" w:rsidP="00955421">
            <w:pPr>
              <w:jc w:val="both"/>
            </w:pPr>
            <w:r w:rsidRPr="005206EB">
              <w:lastRenderedPageBreak/>
              <w:t>1</w:t>
            </w:r>
            <w:r>
              <w:t>5</w:t>
            </w:r>
            <w:r w:rsidRPr="005206EB">
              <w:t>.1.2.</w:t>
            </w:r>
          </w:p>
        </w:tc>
        <w:tc>
          <w:tcPr>
            <w:tcW w:w="4678"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lastRenderedPageBreak/>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lastRenderedPageBreak/>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Pr="001A0D46">
              <w:rPr>
                <w:rFonts w:eastAsia="Yu Mincho"/>
                <w:bCs/>
              </w:rPr>
              <w:lastRenderedPageBreak/>
              <w:t xml:space="preserve">Perkančioji organizacija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 xml:space="preserve">2.2) Jeigu tiekėjas yra fizinis asmuo, registruotas Lietuvos Respublikoje, jis </w:t>
            </w:r>
            <w:r w:rsidRPr="001A0D46">
              <w:rPr>
                <w:rFonts w:eastAsia="Yu Mincho"/>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lastRenderedPageBreak/>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2C170066" w:rsidR="00B507BD" w:rsidRPr="005206EB" w:rsidRDefault="00B507BD" w:rsidP="00955421">
            <w:pPr>
              <w:jc w:val="both"/>
            </w:pPr>
            <w:r w:rsidRPr="005206EB">
              <w:lastRenderedPageBreak/>
              <w:t>1</w:t>
            </w:r>
            <w:r>
              <w:t>5</w:t>
            </w:r>
            <w:r w:rsidRPr="005206EB">
              <w:t>.1.3.</w:t>
            </w:r>
          </w:p>
        </w:tc>
        <w:tc>
          <w:tcPr>
            <w:tcW w:w="4678"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8775467" w:rsidR="00B507BD" w:rsidRPr="005206EB" w:rsidRDefault="00B507BD" w:rsidP="00955421">
            <w:pPr>
              <w:jc w:val="both"/>
              <w:rPr>
                <w:highlight w:val="yellow"/>
              </w:rPr>
            </w:pPr>
            <w:r w:rsidRPr="005206EB">
              <w:t>1</w:t>
            </w:r>
            <w:r>
              <w:t>5</w:t>
            </w:r>
            <w:r w:rsidRPr="005206EB">
              <w:t>.1.4.</w:t>
            </w:r>
          </w:p>
        </w:tc>
        <w:tc>
          <w:tcPr>
            <w:tcW w:w="4678"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3F41CD2B" w:rsidR="00B507BD" w:rsidRPr="005206EB" w:rsidRDefault="00B507BD" w:rsidP="00955421">
            <w:pPr>
              <w:jc w:val="both"/>
            </w:pPr>
            <w:r w:rsidRPr="005206EB">
              <w:t>1</w:t>
            </w:r>
            <w:r>
              <w:t>5</w:t>
            </w:r>
            <w:r w:rsidRPr="005206EB">
              <w:t>.1.5.</w:t>
            </w:r>
          </w:p>
        </w:tc>
        <w:tc>
          <w:tcPr>
            <w:tcW w:w="4678"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0239DE0A" w:rsidR="00B507BD" w:rsidRPr="005206EB" w:rsidRDefault="00B507BD" w:rsidP="00955421">
            <w:pPr>
              <w:jc w:val="both"/>
            </w:pPr>
            <w:r w:rsidRPr="005206EB">
              <w:t>1</w:t>
            </w:r>
            <w:r>
              <w:t>5</w:t>
            </w:r>
            <w:r w:rsidRPr="005206EB">
              <w:t>.1.6.</w:t>
            </w:r>
          </w:p>
        </w:tc>
        <w:tc>
          <w:tcPr>
            <w:tcW w:w="4678"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 xml:space="preserve">Šiuo pagrindu tiekėjas taip pat pašalinamas iš pirkimo procedūros, kai vadovaujantis kitų valstybių teisės aktais ankstesnių procedūrų </w:t>
            </w:r>
            <w:r w:rsidRPr="00356722">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B22170" w:rsidP="00955421">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B22170" w:rsidP="00955421">
            <w:pPr>
              <w:jc w:val="both"/>
            </w:pPr>
            <w:hyperlink r:id="rId14" w:history="1"/>
          </w:p>
        </w:tc>
      </w:tr>
      <w:tr w:rsidR="00B507BD" w:rsidRPr="005206EB" w14:paraId="06A0A9F4" w14:textId="77777777" w:rsidTr="00B507BD">
        <w:tc>
          <w:tcPr>
            <w:tcW w:w="709" w:type="dxa"/>
          </w:tcPr>
          <w:p w14:paraId="3F6D5679" w14:textId="26D5C531" w:rsidR="00B507BD" w:rsidRPr="005206EB" w:rsidRDefault="00B507BD" w:rsidP="00955421">
            <w:pPr>
              <w:jc w:val="both"/>
            </w:pPr>
            <w:r w:rsidRPr="005206EB">
              <w:t>1</w:t>
            </w:r>
            <w:r>
              <w:t>5</w:t>
            </w:r>
            <w:r w:rsidRPr="005206EB">
              <w:t xml:space="preserve">.1.7. </w:t>
            </w:r>
          </w:p>
        </w:tc>
        <w:tc>
          <w:tcPr>
            <w:tcW w:w="4678"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B507BD">
        <w:tc>
          <w:tcPr>
            <w:tcW w:w="709" w:type="dxa"/>
          </w:tcPr>
          <w:p w14:paraId="5CA4A272" w14:textId="37C836C2" w:rsidR="00B507BD" w:rsidRPr="005206EB" w:rsidRDefault="00B507BD" w:rsidP="00955421">
            <w:pPr>
              <w:jc w:val="both"/>
            </w:pPr>
            <w:r w:rsidRPr="005206EB">
              <w:t>1</w:t>
            </w:r>
            <w:r>
              <w:t>5</w:t>
            </w:r>
            <w:r w:rsidRPr="005206EB">
              <w:t>.1.8.</w:t>
            </w:r>
          </w:p>
        </w:tc>
        <w:tc>
          <w:tcPr>
            <w:tcW w:w="4678"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5206EB">
              <w:rPr>
                <w:rFonts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B22170" w:rsidP="00955421">
            <w:pPr>
              <w:jc w:val="both"/>
            </w:pPr>
            <w:hyperlink r:id="rId15" w:history="1">
              <w:r w:rsidR="00B507BD" w:rsidRPr="001A0D46">
                <w:rPr>
                  <w:rStyle w:val="Hipersaitas"/>
                  <w:rFonts w:eastAsiaTheme="majorEastAsia"/>
                </w:rPr>
                <w:t>Nepatikimi tiekėjai - Viešųjų pirkimų tarnyba (lrv.lt)</w:t>
              </w:r>
            </w:hyperlink>
          </w:p>
          <w:p w14:paraId="1C0AEC82" w14:textId="77777777" w:rsidR="00B507BD" w:rsidRPr="001A0D46" w:rsidRDefault="00B507BD" w:rsidP="00955421">
            <w:pPr>
              <w:jc w:val="both"/>
              <w:rPr>
                <w:rFonts w:eastAsia="Yu Mincho"/>
              </w:rPr>
            </w:pPr>
          </w:p>
          <w:p w14:paraId="6A200467" w14:textId="77777777" w:rsidR="00B507BD" w:rsidRPr="005206EB" w:rsidRDefault="00B22170" w:rsidP="00955421">
            <w:pPr>
              <w:jc w:val="both"/>
            </w:pPr>
            <w:hyperlink r:id="rId16" w:history="1">
              <w:r w:rsidR="00B507BD" w:rsidRPr="001A0D46">
                <w:rPr>
                  <w:rStyle w:val="Hipersaitas"/>
                  <w:rFonts w:eastAsiaTheme="majorEastAsia"/>
                </w:rPr>
                <w:t>Nepatikimų koncesininkų sąrašas - Viešųjų pirkimų tarnyba (lrv.lt)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B507BD">
        <w:tc>
          <w:tcPr>
            <w:tcW w:w="709" w:type="dxa"/>
          </w:tcPr>
          <w:p w14:paraId="0DD1E738" w14:textId="173B64CF" w:rsidR="00B507BD" w:rsidRPr="005206EB" w:rsidDel="005335F4" w:rsidRDefault="00B507BD" w:rsidP="00955421">
            <w:pPr>
              <w:jc w:val="both"/>
            </w:pPr>
            <w:r w:rsidRPr="005206EB">
              <w:t>1</w:t>
            </w:r>
            <w:r>
              <w:t>5</w:t>
            </w:r>
            <w:r w:rsidRPr="005206EB">
              <w:t>.1.9.</w:t>
            </w:r>
          </w:p>
        </w:tc>
        <w:tc>
          <w:tcPr>
            <w:tcW w:w="4678"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B22170" w:rsidP="00955421">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2BF601B1" w:rsidR="00B507BD" w:rsidRPr="005206EB" w:rsidDel="005335F4" w:rsidRDefault="00B507BD" w:rsidP="00955421">
            <w:pPr>
              <w:jc w:val="both"/>
            </w:pPr>
            <w:r w:rsidRPr="005206EB">
              <w:t>1</w:t>
            </w:r>
            <w:r>
              <w:t>5</w:t>
            </w:r>
            <w:r w:rsidRPr="005206EB">
              <w:t>.1.10.</w:t>
            </w:r>
          </w:p>
        </w:tc>
        <w:tc>
          <w:tcPr>
            <w:tcW w:w="4678"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2EDAC9E9" w:rsidR="00B507BD" w:rsidRPr="005206EB" w:rsidDel="005335F4" w:rsidRDefault="00B507BD" w:rsidP="00955421">
            <w:pPr>
              <w:jc w:val="both"/>
            </w:pPr>
            <w:r w:rsidRPr="005206EB">
              <w:t>1</w:t>
            </w:r>
            <w:r>
              <w:t>5</w:t>
            </w:r>
            <w:r w:rsidRPr="005206EB">
              <w:t>.1.11.</w:t>
            </w:r>
          </w:p>
        </w:tc>
        <w:tc>
          <w:tcPr>
            <w:tcW w:w="4678"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B22170" w:rsidP="00955421">
            <w:pPr>
              <w:jc w:val="both"/>
            </w:pPr>
            <w:hyperlink r:id="rId20"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59C9EB33" w:rsidR="00B507BD" w:rsidRPr="005206EB" w:rsidDel="005335F4" w:rsidRDefault="00B507BD" w:rsidP="00955421">
            <w:pPr>
              <w:jc w:val="both"/>
            </w:pPr>
            <w:r w:rsidRPr="005206EB">
              <w:t>1</w:t>
            </w:r>
            <w:r>
              <w:t>5</w:t>
            </w:r>
            <w:r w:rsidRPr="005206EB">
              <w:t>.1.12.</w:t>
            </w:r>
          </w:p>
        </w:tc>
        <w:tc>
          <w:tcPr>
            <w:tcW w:w="4678" w:type="dxa"/>
          </w:tcPr>
          <w:p w14:paraId="5B815E19" w14:textId="77777777" w:rsidR="00B507BD" w:rsidRPr="001A0D46" w:rsidRDefault="00B507BD" w:rsidP="00955421">
            <w:pPr>
              <w:jc w:val="both"/>
            </w:pPr>
            <w:r w:rsidRPr="001A0D46">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1A0D46">
              <w:lastRenderedPageBreak/>
              <w:t>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B22170" w:rsidP="00955421">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1746E2F6" w14:textId="1FEEE703" w:rsidR="00B507BD" w:rsidRPr="00B507BD" w:rsidRDefault="00B507BD" w:rsidP="00B507BD">
      <w:pPr>
        <w:widowControl w:val="0"/>
        <w:tabs>
          <w:tab w:val="left" w:pos="1134"/>
        </w:tabs>
        <w:ind w:firstLine="710"/>
        <w:jc w:val="both"/>
        <w:rPr>
          <w:rFonts w:eastAsia="Calibri"/>
        </w:rPr>
      </w:pPr>
      <w:r>
        <w:rPr>
          <w:rFonts w:eastAsia="Calibri"/>
        </w:rPr>
        <w:lastRenderedPageBreak/>
        <w:t xml:space="preserve">15.2. </w:t>
      </w:r>
      <w:r w:rsidRPr="00B507BD">
        <w:rPr>
          <w:rFonts w:eastAsia="Calibri"/>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6110D3B8" w14:textId="7729BD0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w:t>
      </w:r>
      <w:r w:rsidRPr="005206EB">
        <w:rPr>
          <w:rFonts w:eastAsia="Calibri"/>
          <w:sz w:val="24"/>
          <w:szCs w:val="24"/>
        </w:rPr>
        <w:lastRenderedPageBreak/>
        <w:t>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Kai priimtu ir įsiteisėjusiu teismo sprendimu tiekėjui yra nustatytas Viešųjų pirkimų įstatymo 46 straipsnio 1, 2, 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„e-Certis“,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bookmarkEnd w:id="16"/>
          <w:p w14:paraId="740CE494" w14:textId="77777777" w:rsidR="00B45AD1" w:rsidRPr="00EB5B17" w:rsidRDefault="00B45AD1" w:rsidP="00DC3748">
            <w:pPr>
              <w:widowControl w:val="0"/>
              <w:ind w:firstLine="12"/>
              <w:jc w:val="center"/>
              <w:rPr>
                <w:b/>
                <w:bCs/>
              </w:rPr>
            </w:pPr>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984417" w:rsidRPr="00984417" w14:paraId="3E5133F9" w14:textId="77777777" w:rsidTr="005F7BDB">
        <w:tc>
          <w:tcPr>
            <w:tcW w:w="704" w:type="dxa"/>
            <w:shd w:val="clear" w:color="auto" w:fill="auto"/>
          </w:tcPr>
          <w:p w14:paraId="6DBD3F19" w14:textId="4BC02CCB" w:rsidR="00C82676" w:rsidRPr="00984417" w:rsidRDefault="00C82676" w:rsidP="00DC3748">
            <w:pPr>
              <w:widowControl w:val="0"/>
            </w:pPr>
            <w:bookmarkStart w:id="17" w:name="_Hlk133694942"/>
            <w:r w:rsidRPr="00984417">
              <w:t>1</w:t>
            </w:r>
            <w:r w:rsidR="009F6636">
              <w:t>6</w:t>
            </w:r>
            <w:r w:rsidRPr="00984417">
              <w:t>.</w:t>
            </w:r>
            <w:r w:rsidR="001A498F">
              <w:t>1</w:t>
            </w:r>
            <w:r w:rsidR="005F7BDB">
              <w:t>.</w:t>
            </w:r>
          </w:p>
        </w:tc>
        <w:tc>
          <w:tcPr>
            <w:tcW w:w="4394" w:type="dxa"/>
            <w:shd w:val="clear" w:color="auto" w:fill="auto"/>
          </w:tcPr>
          <w:p w14:paraId="1E0C1472" w14:textId="1B9A7828" w:rsidR="001A498F" w:rsidRPr="007B1421" w:rsidRDefault="001A498F" w:rsidP="001A498F">
            <w:pPr>
              <w:autoSpaceDE w:val="0"/>
              <w:autoSpaceDN w:val="0"/>
              <w:adjustRightInd w:val="0"/>
              <w:jc w:val="both"/>
              <w:rPr>
                <w:b/>
                <w:bCs/>
              </w:rPr>
            </w:pPr>
            <w:r w:rsidRPr="001A498F">
              <w:t xml:space="preserve">Tiekėjas per </w:t>
            </w:r>
            <w:r w:rsidRPr="007B1421">
              <w:t>paskutinius 3 metus arba per laiką nuo tiekėjo įregistravimo dienos (jeigu tiekėjas veiklą vykdė mažiau nei 3 metus) iki pasiūlymo pateikimo termino pabaigos</w:t>
            </w:r>
            <w:r w:rsidR="00540A0D" w:rsidRPr="007B1421">
              <w:t xml:space="preserve"> pagal vieną ar daugiau sutarčių savo jėgomis</w:t>
            </w:r>
            <w:r w:rsidRPr="007B1421">
              <w:t xml:space="preserve"> yra </w:t>
            </w:r>
            <w:r w:rsidRPr="007B1421">
              <w:rPr>
                <w:b/>
                <w:bCs/>
              </w:rPr>
              <w:t>tinkamai suteikęs</w:t>
            </w:r>
            <w:r w:rsidRPr="007B1421">
              <w:t xml:space="preserve"> </w:t>
            </w:r>
            <w:r w:rsidR="009C1F33" w:rsidRPr="007B1421">
              <w:rPr>
                <w:b/>
                <w:bCs/>
              </w:rPr>
              <w:t xml:space="preserve">teisinių </w:t>
            </w:r>
            <w:r w:rsidR="009C1F33" w:rsidRPr="007B1421">
              <w:rPr>
                <w:b/>
                <w:bCs/>
              </w:rPr>
              <w:lastRenderedPageBreak/>
              <w:t>konsultacijų duomenų apsaugos srityje paslaugų ir (arba) duomenų apsaugos pareigūno paslaugų, kurių vertė</w:t>
            </w:r>
            <w:r w:rsidR="009C1F33" w:rsidRPr="007B1421">
              <w:t xml:space="preserve"> </w:t>
            </w:r>
            <w:r w:rsidR="009C1F33" w:rsidRPr="007B1421">
              <w:rPr>
                <w:b/>
                <w:bCs/>
              </w:rPr>
              <w:t>ne mažesnė kaip 20 000 Eur be PVM.</w:t>
            </w:r>
          </w:p>
          <w:p w14:paraId="26AB678F" w14:textId="77777777" w:rsidR="00540A0D" w:rsidRPr="00540A0D" w:rsidRDefault="00540A0D" w:rsidP="00540A0D">
            <w:pPr>
              <w:autoSpaceDE w:val="0"/>
              <w:autoSpaceDN w:val="0"/>
              <w:adjustRightInd w:val="0"/>
              <w:jc w:val="both"/>
              <w:rPr>
                <w:i/>
                <w:iCs/>
              </w:rPr>
            </w:pPr>
            <w:r w:rsidRPr="007B1421">
              <w:rPr>
                <w:i/>
                <w:iCs/>
              </w:rPr>
              <w:t>Pastabos:</w:t>
            </w:r>
            <w:r w:rsidRPr="00540A0D">
              <w:rPr>
                <w:i/>
                <w:iCs/>
              </w:rPr>
              <w:t xml:space="preserve"> </w:t>
            </w:r>
          </w:p>
          <w:p w14:paraId="18B0B018" w14:textId="73870E7C"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suteiktas paslaugas, kurios pradėtos ir baigtos teikti per paskutinius 3 metus iki pasiūlymo pateikimo termino pabaigos;</w:t>
            </w:r>
          </w:p>
          <w:p w14:paraId="4D6045B6" w14:textId="5D2CAE8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 xml:space="preserve">suteiktas paslaugas, kurios pradėtos teikti anksčiau nei per  paskutinius 3 metus iki pasiūlymo pateikimo termino pabaigos, tačiau pabaigtos teikti per paskutinius 3 metus iki pasiūlymo pateikimo termino pabaigos, </w:t>
            </w:r>
            <w:bookmarkStart w:id="18" w:name="_Hlk184902921"/>
            <w:r w:rsidRPr="00540A0D">
              <w:rPr>
                <w:i/>
                <w:iCs/>
              </w:rPr>
              <w:t>tokiu atveju laikoma, kad jo patirtis atitinka nustatytą reikalavimą, jei per paskutinius 3 metus iki pasiūlymo pateikimo termino pabaigos pagal vieną ar daugiau sutarčių</w:t>
            </w:r>
            <w:r w:rsidR="0039283E">
              <w:rPr>
                <w:i/>
                <w:iCs/>
              </w:rPr>
              <w:t xml:space="preserve"> savo jėgomis</w:t>
            </w:r>
            <w:r w:rsidRPr="00540A0D">
              <w:rPr>
                <w:i/>
                <w:iCs/>
              </w:rPr>
              <w:t xml:space="preserve"> yra tinkamai suteikęs reikalavime nurodytų paslaugų už ne mažiau kaip reikalavime nurodytą sumą</w:t>
            </w:r>
            <w:bookmarkEnd w:id="18"/>
            <w:r w:rsidRPr="00540A0D">
              <w:rPr>
                <w:i/>
                <w:iCs/>
              </w:rPr>
              <w:t>;</w:t>
            </w:r>
          </w:p>
          <w:p w14:paraId="015F2B6A" w14:textId="72854EC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w:t>
            </w:r>
            <w:r w:rsidR="0039283E">
              <w:rPr>
                <w:i/>
                <w:iCs/>
              </w:rPr>
              <w:t xml:space="preserve">savo jėgomis </w:t>
            </w:r>
            <w:r w:rsidRPr="00540A0D">
              <w:rPr>
                <w:i/>
                <w:iCs/>
              </w:rPr>
              <w:t>yra tinkamai suteikęs reikalavime nurodytų paslaugų už ne mažiau kaip reikalavime nurodytą sumą;</w:t>
            </w:r>
          </w:p>
          <w:p w14:paraId="0256CEBB" w14:textId="364ED532" w:rsidR="00C82676" w:rsidRPr="00984417" w:rsidRDefault="0039283E" w:rsidP="00540A0D">
            <w:pPr>
              <w:widowControl w:val="0"/>
              <w:suppressAutoHyphens/>
              <w:jc w:val="both"/>
            </w:pPr>
            <w:r>
              <w:rPr>
                <w:i/>
                <w:iCs/>
              </w:rPr>
              <w:t xml:space="preserve">- </w:t>
            </w:r>
            <w:r w:rsidR="00540A0D" w:rsidRPr="00540A0D">
              <w:rPr>
                <w:i/>
                <w:iCs/>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tc>
        <w:tc>
          <w:tcPr>
            <w:tcW w:w="4536" w:type="dxa"/>
            <w:shd w:val="clear" w:color="auto" w:fill="auto"/>
          </w:tcPr>
          <w:p w14:paraId="57458871" w14:textId="77777777" w:rsidR="004F3D3B" w:rsidRPr="00984417" w:rsidRDefault="004F3D3B" w:rsidP="00DC3748">
            <w:pPr>
              <w:jc w:val="both"/>
              <w:rPr>
                <w:lang w:eastAsia="lt-LT"/>
              </w:rPr>
            </w:pPr>
            <w:r w:rsidRPr="00984417">
              <w:rPr>
                <w:lang w:eastAsia="lt-LT"/>
              </w:rPr>
              <w:lastRenderedPageBreak/>
              <w:t>Pateikiama:</w:t>
            </w:r>
          </w:p>
          <w:p w14:paraId="7CDD4A68" w14:textId="01EC1E6A" w:rsidR="00E46D6E" w:rsidRPr="00724BA0" w:rsidRDefault="004F3D3B" w:rsidP="00E46D6E">
            <w:pPr>
              <w:jc w:val="both"/>
              <w:rPr>
                <w:b/>
                <w:bCs/>
                <w:lang w:eastAsia="lt-LT"/>
              </w:rPr>
            </w:pPr>
            <w:r w:rsidRPr="00984417">
              <w:rPr>
                <w:bCs/>
                <w:lang w:eastAsia="lt-LT"/>
              </w:rPr>
              <w:t>1)</w:t>
            </w:r>
            <w:r w:rsidR="00E519A3" w:rsidRPr="00984417">
              <w:rPr>
                <w:lang w:eastAsia="lt-LT"/>
              </w:rPr>
              <w:t> </w:t>
            </w:r>
            <w:r w:rsidR="00E46D6E" w:rsidRPr="00984417">
              <w:rPr>
                <w:lang w:eastAsia="lt-LT"/>
              </w:rPr>
              <w:t>p</w:t>
            </w:r>
            <w:r w:rsidRPr="00984417">
              <w:rPr>
                <w:lang w:eastAsia="lt-LT"/>
              </w:rPr>
              <w:t>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984417">
              <w:rPr>
                <w:lang w:eastAsia="lt-LT"/>
              </w:rPr>
              <w:lastRenderedPageBreak/>
              <w:t xml:space="preserve">užpildytas pagal konkurso sąlygų </w:t>
            </w:r>
            <w:r w:rsidRPr="0013728A">
              <w:rPr>
                <w:lang w:eastAsia="lt-LT"/>
              </w:rPr>
              <w:t xml:space="preserve">aprašo </w:t>
            </w:r>
            <w:r w:rsidR="00B15E6F" w:rsidRPr="00724BA0">
              <w:rPr>
                <w:b/>
                <w:bCs/>
                <w:lang w:eastAsia="lt-LT"/>
              </w:rPr>
              <w:t>3</w:t>
            </w:r>
            <w:r w:rsidRPr="00724BA0">
              <w:rPr>
                <w:b/>
                <w:bCs/>
                <w:lang w:eastAsia="lt-LT"/>
              </w:rPr>
              <w:t xml:space="preserve"> priedą</w:t>
            </w:r>
            <w:r w:rsidR="00E46D6E" w:rsidRPr="00724BA0">
              <w:rPr>
                <w:b/>
                <w:bCs/>
                <w:lang w:eastAsia="lt-LT"/>
              </w:rPr>
              <w:t>;</w:t>
            </w:r>
          </w:p>
          <w:p w14:paraId="529E9638" w14:textId="69B8BC28" w:rsidR="00CE65A5" w:rsidRPr="009A68EC" w:rsidRDefault="00144DBA" w:rsidP="00CE65A5">
            <w:pPr>
              <w:tabs>
                <w:tab w:val="left" w:pos="344"/>
                <w:tab w:val="left" w:pos="1665"/>
              </w:tabs>
              <w:jc w:val="both"/>
            </w:pPr>
            <w:r>
              <w:rPr>
                <w:lang w:eastAsia="lt-LT"/>
              </w:rPr>
              <w:t>2</w:t>
            </w:r>
            <w:r w:rsidR="00CE65A5" w:rsidRPr="009A68EC">
              <w:rPr>
                <w:lang w:eastAsia="lt-LT"/>
              </w:rPr>
              <w:t>)</w:t>
            </w:r>
            <w:r w:rsidR="00CE65A5" w:rsidRPr="009A68EC">
              <w:t xml:space="preserve"> </w:t>
            </w:r>
            <w:r w:rsidR="00CE65A5" w:rsidRPr="009A68EC">
              <w:rPr>
                <w:b/>
                <w:bCs/>
              </w:rPr>
              <w:t>Užsakovų pažymos</w:t>
            </w:r>
            <w:r w:rsidR="00CE65A5">
              <w:t xml:space="preserve">, kuriose </w:t>
            </w:r>
            <w:r w:rsidR="00CE65A5" w:rsidRPr="009A68EC">
              <w:t>turi būti nurodyta:</w:t>
            </w:r>
          </w:p>
          <w:p w14:paraId="28F5C4A7" w14:textId="77777777" w:rsidR="00CE65A5" w:rsidRPr="009A68EC" w:rsidRDefault="00CE65A5" w:rsidP="00CE65A5">
            <w:pPr>
              <w:tabs>
                <w:tab w:val="left" w:pos="344"/>
                <w:tab w:val="left" w:pos="1665"/>
              </w:tabs>
              <w:jc w:val="both"/>
            </w:pPr>
            <w:r w:rsidRPr="009A68EC">
              <w:t xml:space="preserve">- </w:t>
            </w:r>
            <w:bookmarkStart w:id="19" w:name="_Hlk184902996"/>
            <w:r w:rsidRPr="009A68EC">
              <w:t>suteiktų paslaugų bendros sumos ar suteiktų paslaugų dalies suma (jei teikiama informacija apie tebevykdomą sutartį),</w:t>
            </w:r>
          </w:p>
          <w:p w14:paraId="77860598" w14:textId="77777777" w:rsidR="00CE65A5" w:rsidRPr="009A68EC" w:rsidRDefault="00CE65A5" w:rsidP="00CE65A5">
            <w:pPr>
              <w:tabs>
                <w:tab w:val="left" w:pos="344"/>
                <w:tab w:val="left" w:pos="1665"/>
              </w:tabs>
              <w:jc w:val="both"/>
            </w:pPr>
            <w:r w:rsidRPr="009A68EC">
              <w:t xml:space="preserve">- paslaugų pradžios ir pabaigos (jei sutartis baigta vykdyti) datos, </w:t>
            </w:r>
          </w:p>
          <w:p w14:paraId="6B918AA2" w14:textId="77777777" w:rsidR="00CE65A5" w:rsidRPr="009A68EC" w:rsidRDefault="00CE65A5" w:rsidP="00CE65A5">
            <w:pPr>
              <w:tabs>
                <w:tab w:val="left" w:pos="344"/>
                <w:tab w:val="left" w:pos="1665"/>
              </w:tabs>
              <w:jc w:val="both"/>
            </w:pPr>
            <w:r w:rsidRPr="009A68EC">
              <w:t>- paslaugų gavėjai,</w:t>
            </w:r>
          </w:p>
          <w:p w14:paraId="498050C7" w14:textId="77777777" w:rsidR="00CE65A5" w:rsidRDefault="00CE65A5" w:rsidP="00CE65A5">
            <w:pPr>
              <w:widowControl w:val="0"/>
              <w:jc w:val="both"/>
              <w:rPr>
                <w:b/>
                <w:bCs/>
              </w:rPr>
            </w:pPr>
            <w:r w:rsidRPr="009A68EC">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bookmarkEnd w:id="19"/>
          <w:p w14:paraId="6AEB180F" w14:textId="77777777" w:rsidR="00A36DDB" w:rsidRPr="00984417" w:rsidRDefault="00A36DDB" w:rsidP="00A36DDB">
            <w:pPr>
              <w:jc w:val="both"/>
              <w:rPr>
                <w:bCs/>
                <w:lang w:eastAsia="lt-LT"/>
              </w:rPr>
            </w:pPr>
            <w:r w:rsidRPr="00984417">
              <w:rPr>
                <w:i/>
                <w:iCs/>
              </w:rPr>
              <w:t>Pateikiami skenuoti arba el. parašu pasirašyti dokumentai.</w:t>
            </w:r>
          </w:p>
          <w:p w14:paraId="5E640643" w14:textId="26630644" w:rsidR="00C82676" w:rsidRPr="00984417" w:rsidRDefault="00C82676" w:rsidP="00A36DDB">
            <w:pPr>
              <w:spacing w:line="259" w:lineRule="auto"/>
              <w:jc w:val="both"/>
            </w:pPr>
          </w:p>
        </w:tc>
      </w:tr>
      <w:tr w:rsidR="00A17490" w:rsidRPr="00853776" w14:paraId="55920582" w14:textId="77777777" w:rsidTr="005F7BDB">
        <w:tc>
          <w:tcPr>
            <w:tcW w:w="704" w:type="dxa"/>
            <w:shd w:val="clear" w:color="auto" w:fill="auto"/>
          </w:tcPr>
          <w:p w14:paraId="4C43A60E" w14:textId="5E1B924A" w:rsidR="00A17490" w:rsidRDefault="00A17490" w:rsidP="00A17490">
            <w:pPr>
              <w:widowControl w:val="0"/>
            </w:pPr>
            <w:bookmarkStart w:id="20" w:name="_Hlk184116059"/>
            <w:bookmarkEnd w:id="17"/>
            <w:r>
              <w:lastRenderedPageBreak/>
              <w:t>16.2.</w:t>
            </w:r>
          </w:p>
        </w:tc>
        <w:tc>
          <w:tcPr>
            <w:tcW w:w="4394" w:type="dxa"/>
            <w:shd w:val="clear" w:color="auto" w:fill="auto"/>
          </w:tcPr>
          <w:p w14:paraId="672030F1" w14:textId="2DCD72AA" w:rsidR="00A17490" w:rsidRPr="00E5048E" w:rsidRDefault="00A17490" w:rsidP="00A17490">
            <w:pPr>
              <w:autoSpaceDE w:val="0"/>
              <w:autoSpaceDN w:val="0"/>
              <w:adjustRightInd w:val="0"/>
              <w:jc w:val="both"/>
              <w:rPr>
                <w:color w:val="000000"/>
              </w:rPr>
            </w:pPr>
            <w:r w:rsidRPr="00E5048E">
              <w:rPr>
                <w:color w:val="000000"/>
              </w:rPr>
              <w:t>Tiekėjas sutarčiai vykdyti turi pasiūlyti</w:t>
            </w:r>
            <w:r>
              <w:rPr>
                <w:color w:val="000000"/>
              </w:rPr>
              <w:t>:</w:t>
            </w:r>
            <w:r w:rsidRPr="00E5048E">
              <w:rPr>
                <w:color w:val="000000"/>
              </w:rPr>
              <w:t xml:space="preserve"> </w:t>
            </w:r>
          </w:p>
          <w:p w14:paraId="64C29A51" w14:textId="46CD1813" w:rsidR="00A17490" w:rsidRPr="005A2BC2" w:rsidRDefault="00A17490" w:rsidP="00A17490">
            <w:pPr>
              <w:pStyle w:val="xmsonormal"/>
              <w:jc w:val="both"/>
              <w:rPr>
                <w:rFonts w:ascii="Times New Roman" w:hAnsi="Times New Roman" w:cs="Times New Roman"/>
                <w:b/>
                <w:bCs/>
                <w:color w:val="000000"/>
                <w:sz w:val="24"/>
                <w:szCs w:val="24"/>
              </w:rPr>
            </w:pPr>
            <w:r w:rsidRPr="00DA7202">
              <w:rPr>
                <w:rFonts w:ascii="Times New Roman" w:hAnsi="Times New Roman" w:cs="Times New Roman"/>
                <w:color w:val="000000"/>
                <w:sz w:val="24"/>
                <w:szCs w:val="24"/>
              </w:rPr>
              <w:t xml:space="preserve">1) </w:t>
            </w:r>
            <w:r w:rsidRPr="005A2BC2">
              <w:rPr>
                <w:rFonts w:ascii="Times New Roman" w:hAnsi="Times New Roman" w:cs="Times New Roman"/>
                <w:b/>
                <w:bCs/>
                <w:color w:val="000000"/>
                <w:sz w:val="24"/>
                <w:szCs w:val="24"/>
              </w:rPr>
              <w:t>specialistą, kuris:</w:t>
            </w:r>
          </w:p>
          <w:p w14:paraId="18A70D8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5BBF2120" w14:textId="62F3BF0C"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sertification board (PECB) </w:t>
            </w:r>
            <w:r w:rsidRPr="00D5143A">
              <w:rPr>
                <w:rFonts w:ascii="Times New Roman" w:hAnsi="Times New Roman" w:cs="Times New Roman"/>
                <w:color w:val="000000"/>
                <w:sz w:val="24"/>
                <w:szCs w:val="24"/>
              </w:rPr>
              <w:lastRenderedPageBreak/>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4E66B918" w14:textId="2E40281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ne mažesnę kaip </w:t>
            </w:r>
            <w:r w:rsidRPr="00E374E3">
              <w:rPr>
                <w:rFonts w:ascii="Times New Roman" w:hAnsi="Times New Roman" w:cs="Times New Roman"/>
                <w:color w:val="000000"/>
                <w:sz w:val="24"/>
                <w:szCs w:val="24"/>
              </w:rPr>
              <w:t>2 metų</w:t>
            </w:r>
            <w:r w:rsidRPr="00DA7202">
              <w:rPr>
                <w:rFonts w:ascii="Times New Roman" w:hAnsi="Times New Roman" w:cs="Times New Roman"/>
                <w:color w:val="000000"/>
                <w:sz w:val="24"/>
                <w:szCs w:val="24"/>
              </w:rPr>
              <w:t xml:space="preserve"> patirtį asmens duomenų apsaugos sityje.</w:t>
            </w:r>
          </w:p>
          <w:p w14:paraId="55D799D8" w14:textId="45217BD3"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2) </w:t>
            </w:r>
            <w:r w:rsidRPr="005A2BC2">
              <w:rPr>
                <w:rFonts w:ascii="Times New Roman" w:hAnsi="Times New Roman" w:cs="Times New Roman"/>
                <w:b/>
                <w:bCs/>
                <w:color w:val="000000"/>
                <w:sz w:val="24"/>
                <w:szCs w:val="24"/>
              </w:rPr>
              <w:t xml:space="preserve"> specialistą, kuris:</w:t>
            </w:r>
          </w:p>
          <w:p w14:paraId="4B35E24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7183923D" w14:textId="77777777" w:rsidR="001A7EFE" w:rsidRDefault="00110C4F" w:rsidP="00A17490">
            <w:pPr>
              <w:pStyle w:val="xmso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turi informacijos saugos specialisto </w:t>
            </w:r>
            <w:r w:rsidRPr="00110C4F">
              <w:rPr>
                <w:rFonts w:ascii="Times New Roman" w:hAnsi="Times New Roman" w:cs="Times New Roman"/>
                <w:color w:val="000000"/>
                <w:sz w:val="24"/>
                <w:szCs w:val="24"/>
              </w:rPr>
              <w:t>CISM</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lang w:val="en-US"/>
              </w:rPr>
              <w:t xml:space="preserve">(Certified Information Security Manager) </w:t>
            </w:r>
            <w:r>
              <w:rPr>
                <w:rFonts w:ascii="Times New Roman" w:hAnsi="Times New Roman" w:cs="Times New Roman"/>
                <w:color w:val="000000"/>
                <w:sz w:val="24"/>
                <w:szCs w:val="24"/>
              </w:rPr>
              <w:t>arba</w:t>
            </w:r>
            <w:r>
              <w:rPr>
                <w:rFonts w:ascii="Times New Roman" w:hAnsi="Times New Roman" w:cs="Times New Roman"/>
                <w:sz w:val="24"/>
                <w:szCs w:val="24"/>
              </w:rPr>
              <w:t xml:space="preserve"> </w:t>
            </w:r>
            <w:r w:rsidRPr="00110C4F">
              <w:rPr>
                <w:rFonts w:ascii="Times New Roman" w:hAnsi="Times New Roman" w:cs="Times New Roman"/>
                <w:sz w:val="24"/>
                <w:szCs w:val="24"/>
              </w:rPr>
              <w:t xml:space="preserve">informacinių sistemų valdymo ir auditų srities specialisto </w:t>
            </w:r>
            <w:r w:rsidRPr="00110C4F">
              <w:rPr>
                <w:rFonts w:ascii="Times New Roman" w:hAnsi="Times New Roman" w:cs="Times New Roman"/>
                <w:sz w:val="24"/>
                <w:szCs w:val="24"/>
                <w:lang w:val="en-US"/>
              </w:rPr>
              <w:t xml:space="preserve">CISA </w:t>
            </w:r>
            <w:r>
              <w:rPr>
                <w:rFonts w:ascii="Times New Roman" w:hAnsi="Times New Roman" w:cs="Times New Roman"/>
                <w:color w:val="000000"/>
                <w:sz w:val="24"/>
                <w:szCs w:val="24"/>
                <w:lang w:val="en-US"/>
              </w:rPr>
              <w:t xml:space="preserve">(Certifies Information Systems Auditor),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ISACA (Information Systems Audit and Control Association),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 xml:space="preserve">informacinių sistemų saugumo specialisto </w:t>
            </w:r>
            <w:r>
              <w:rPr>
                <w:rFonts w:ascii="Times New Roman" w:hAnsi="Times New Roman" w:cs="Times New Roman"/>
                <w:color w:val="000000"/>
                <w:sz w:val="24"/>
                <w:szCs w:val="24"/>
                <w:lang w:val="en-US"/>
              </w:rPr>
              <w:t xml:space="preserve">CISSP (Certified Information Systems Security Professional),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The International Information System Security Certification Consortium (ISC2),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informacinių sistemų tinklų saugumo specialisto</w:t>
            </w:r>
            <w:r w:rsidRPr="001A7EFE">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CEH (Certified Ethical Hacker),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International Council of E-Commerce Consultants (EC-Council</w:t>
            </w:r>
            <w:r>
              <w:rPr>
                <w:rFonts w:ascii="Times New Roman" w:hAnsi="Times New Roman" w:cs="Times New Roman"/>
                <w:color w:val="000000"/>
                <w:sz w:val="24"/>
                <w:szCs w:val="24"/>
              </w:rPr>
              <w:t>) sertifikatą arba lygiavertį</w:t>
            </w:r>
            <w:r w:rsidR="001A7EFE">
              <w:rPr>
                <w:rFonts w:ascii="Times New Roman" w:hAnsi="Times New Roman" w:cs="Times New Roman"/>
                <w:color w:val="000000"/>
                <w:sz w:val="24"/>
                <w:szCs w:val="24"/>
              </w:rPr>
              <w:t>;</w:t>
            </w:r>
          </w:p>
          <w:p w14:paraId="719AE449" w14:textId="3CED2A7B"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p w14:paraId="5E34AEFE" w14:textId="77777777" w:rsidR="00A17490" w:rsidRPr="00DA7202" w:rsidRDefault="00A17490" w:rsidP="00A17490">
            <w:pPr>
              <w:pStyle w:val="xmsonormal"/>
              <w:jc w:val="both"/>
              <w:rPr>
                <w:rFonts w:ascii="Times New Roman" w:hAnsi="Times New Roman" w:cs="Times New Roman"/>
                <w:color w:val="000000"/>
                <w:sz w:val="24"/>
                <w:szCs w:val="24"/>
              </w:rPr>
            </w:pPr>
          </w:p>
          <w:p w14:paraId="262A2476"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Pastabos:</w:t>
            </w:r>
          </w:p>
          <w:p w14:paraId="39C582B5"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tas pats specialistas gali būti siūlomas abiem pozicijoms, jeigu tenkina atitinkamam specialistui keliamus reikalavimus;</w:t>
            </w:r>
          </w:p>
          <w:p w14:paraId="795EBD37" w14:textId="60D6A3D1" w:rsidR="00A17490" w:rsidRPr="00FF7103"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pagal Studijų krypčių ir kryčių grupių, pagal kurias vyksta studijos aukštosiose mokyklose, sąrašą (patvirtintą Lietuvos Respublikos švietimo ir mokslo švietimo 2016 m. gruodžio 1 d. įsakymu Nr. V-1075) informatikos mokslų krypčių grupei priklauso: Informatika, Informacijos sistemos, Programų sistemos, Informatikos inžinerija.</w:t>
            </w:r>
          </w:p>
        </w:tc>
        <w:tc>
          <w:tcPr>
            <w:tcW w:w="4536" w:type="dxa"/>
            <w:shd w:val="clear" w:color="auto" w:fill="auto"/>
          </w:tcPr>
          <w:p w14:paraId="7BAC53CD" w14:textId="77777777" w:rsidR="00A17490" w:rsidRDefault="00A17490" w:rsidP="00A17490">
            <w:pPr>
              <w:jc w:val="both"/>
            </w:pPr>
            <w:r>
              <w:lastRenderedPageBreak/>
              <w:t>Pateikiama:</w:t>
            </w:r>
          </w:p>
          <w:p w14:paraId="1D17DFAD" w14:textId="77777777" w:rsidR="00A17490" w:rsidRPr="00AD1942" w:rsidRDefault="00A17490" w:rsidP="00A17490">
            <w:pPr>
              <w:contextualSpacing/>
              <w:jc w:val="both"/>
            </w:pPr>
            <w:r>
              <w:t xml:space="preserve">1) specialistų, kurie bus atsakingi už sutarties vykdymą, </w:t>
            </w:r>
            <w:r w:rsidRPr="0082507D">
              <w:t xml:space="preserve">sąrašas, užpildytas pagal konkurso sąlygų aprašo </w:t>
            </w:r>
            <w:r w:rsidRPr="00257A7A">
              <w:rPr>
                <w:b/>
                <w:bCs/>
              </w:rPr>
              <w:t>4 priedą</w:t>
            </w:r>
            <w:r w:rsidRPr="009C0B3E">
              <w:t>;</w:t>
            </w:r>
          </w:p>
          <w:p w14:paraId="37ECC198" w14:textId="77777777" w:rsidR="00A17490" w:rsidRDefault="00A17490" w:rsidP="00A17490">
            <w:pPr>
              <w:tabs>
                <w:tab w:val="left" w:pos="32"/>
                <w:tab w:val="left" w:pos="119"/>
                <w:tab w:val="left" w:pos="215"/>
                <w:tab w:val="left" w:pos="315"/>
              </w:tabs>
              <w:jc w:val="both"/>
            </w:pPr>
            <w:r>
              <w:t>2) Kompetentingų institucijų išduoti specialistų išsilavinimą patvirtinantys dokumentai ar kiti lygiaverčiai dokumentai, patvirtinantys specialisto išsilavinimą.</w:t>
            </w:r>
          </w:p>
          <w:p w14:paraId="10CBC494" w14:textId="77777777" w:rsidR="00A17490" w:rsidRDefault="00A17490" w:rsidP="00A17490">
            <w:pPr>
              <w:tabs>
                <w:tab w:val="left" w:pos="32"/>
                <w:tab w:val="left" w:pos="119"/>
                <w:tab w:val="left" w:pos="215"/>
                <w:tab w:val="left" w:pos="315"/>
              </w:tabs>
              <w:jc w:val="both"/>
            </w:pPr>
            <w:r>
              <w:t>3)</w:t>
            </w:r>
            <w:r>
              <w:tab/>
              <w:t>Kompetentingų institucijų išduoti reikalaujami sertifikatai arba lygiaverčiai dokumentai.</w:t>
            </w:r>
          </w:p>
          <w:p w14:paraId="74412BDE" w14:textId="2CB3E82E" w:rsidR="00A17490" w:rsidRDefault="00A17490" w:rsidP="00A17490">
            <w:pPr>
              <w:jc w:val="both"/>
            </w:pPr>
            <w:bookmarkStart w:id="21" w:name="_Hlk188524238"/>
            <w:r>
              <w:lastRenderedPageBreak/>
              <w:t xml:space="preserve">4) Darbinės veiklos aprašymai, kuriuose aiškiai nurodoma specialisto turima patirtis reikalaujamoje srityje, darbovietės pavadinimas ir </w:t>
            </w:r>
            <w:r w:rsidR="00AC4734">
              <w:t xml:space="preserve">jos </w:t>
            </w:r>
            <w:r>
              <w:t>kontaktiniai duomenys.</w:t>
            </w:r>
          </w:p>
          <w:bookmarkEnd w:id="21"/>
          <w:p w14:paraId="033CD625" w14:textId="77777777" w:rsidR="00A17490" w:rsidRDefault="00A17490" w:rsidP="00A17490">
            <w:pPr>
              <w:jc w:val="both"/>
            </w:pPr>
          </w:p>
          <w:p w14:paraId="4FEFEB88" w14:textId="77777777" w:rsidR="00A17490" w:rsidRDefault="00A17490" w:rsidP="00A17490">
            <w:pPr>
              <w:jc w:val="both"/>
              <w:rPr>
                <w:i/>
                <w:iCs/>
              </w:rPr>
            </w:pPr>
            <w:bookmarkStart w:id="22" w:name="_Hlk113354634"/>
            <w:r>
              <w:rPr>
                <w:i/>
                <w:iCs/>
              </w:rPr>
              <w:t xml:space="preserve">Pastabos: </w:t>
            </w:r>
            <w:bookmarkEnd w:id="22"/>
          </w:p>
          <w:p w14:paraId="422BB30D" w14:textId="77777777" w:rsidR="00A17490" w:rsidRPr="009A31D5" w:rsidRDefault="00A17490" w:rsidP="00A17490">
            <w:pPr>
              <w:widowControl w:val="0"/>
              <w:numPr>
                <w:ilvl w:val="0"/>
                <w:numId w:val="26"/>
              </w:numPr>
              <w:tabs>
                <w:tab w:val="left" w:pos="316"/>
              </w:tabs>
              <w:ind w:left="32" w:firstLine="0"/>
              <w:jc w:val="both"/>
              <w:rPr>
                <w:i/>
              </w:rPr>
            </w:pPr>
            <w:r>
              <w:rPr>
                <w:i/>
                <w:color w:val="000000" w:themeColor="text1"/>
              </w:rPr>
              <w:t>i</w:t>
            </w:r>
            <w:r w:rsidRPr="009A31D5">
              <w:rPr>
                <w:i/>
                <w:color w:val="000000" w:themeColor="text1"/>
              </w:rPr>
              <w:t>škilus abejonių dėl pateiktų dokumentų ar juose nurodytos informacijos, Perkančioji organizacija, turi teisę pareikalauti tiekėjo pateikti nurodytą informaciją patvirtinančių dokumentų</w:t>
            </w:r>
            <w:r>
              <w:rPr>
                <w:i/>
                <w:color w:val="000000" w:themeColor="text1"/>
              </w:rPr>
              <w:t>;</w:t>
            </w:r>
          </w:p>
          <w:p w14:paraId="2180C0C2" w14:textId="56D36D69" w:rsidR="00A17490" w:rsidRPr="009A31D5" w:rsidRDefault="00A17490" w:rsidP="00A17490">
            <w:pPr>
              <w:widowControl w:val="0"/>
              <w:numPr>
                <w:ilvl w:val="0"/>
                <w:numId w:val="26"/>
              </w:numPr>
              <w:tabs>
                <w:tab w:val="left" w:pos="316"/>
              </w:tabs>
              <w:ind w:left="32" w:firstLine="0"/>
              <w:jc w:val="both"/>
              <w:rPr>
                <w:i/>
              </w:rPr>
            </w:pPr>
            <w:r w:rsidRPr="009A31D5">
              <w:rPr>
                <w:i/>
                <w:color w:val="000000" w:themeColor="text1"/>
              </w:rPr>
              <w:t xml:space="preserve">Perkančioji organizacija taip pat turi teisę </w:t>
            </w:r>
            <w:r w:rsidR="00C11C16">
              <w:rPr>
                <w:i/>
                <w:color w:val="000000" w:themeColor="text1"/>
              </w:rPr>
              <w:t xml:space="preserve">pati </w:t>
            </w:r>
            <w:r w:rsidRPr="009A31D5">
              <w:rPr>
                <w:i/>
                <w:color w:val="000000" w:themeColor="text1"/>
              </w:rPr>
              <w:t>patikrinti nurodytų dokumentų, informacijos teisingumą</w:t>
            </w:r>
            <w:r>
              <w:rPr>
                <w:i/>
                <w:color w:val="000000" w:themeColor="text1"/>
              </w:rPr>
              <w:t>;</w:t>
            </w:r>
          </w:p>
          <w:p w14:paraId="636F8D71" w14:textId="77777777" w:rsidR="00A17490" w:rsidRPr="00E70DC2" w:rsidRDefault="00A17490" w:rsidP="00A17490">
            <w:pPr>
              <w:ind w:left="33"/>
              <w:contextualSpacing/>
              <w:jc w:val="both"/>
              <w:rPr>
                <w:i/>
                <w:iCs/>
              </w:rPr>
            </w:pPr>
            <w:r w:rsidRPr="00E70DC2">
              <w:rPr>
                <w:b/>
                <w:i/>
                <w:iCs/>
              </w:rPr>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turi būti išviešintas pasiūlyme kaip kvazisubtiekėjas</w:t>
            </w:r>
            <w:r w:rsidRPr="00E70DC2">
              <w:rPr>
                <w:i/>
                <w:iCs/>
              </w:rPr>
              <w:t>;</w:t>
            </w:r>
          </w:p>
          <w:p w14:paraId="49922661" w14:textId="77777777" w:rsidR="00A17490" w:rsidRPr="00E70DC2" w:rsidRDefault="00A17490" w:rsidP="00A17490">
            <w:pPr>
              <w:ind w:left="33"/>
              <w:contextualSpacing/>
              <w:jc w:val="both"/>
              <w:rPr>
                <w:i/>
                <w:iCs/>
              </w:rPr>
            </w:pPr>
            <w:r w:rsidRPr="00E70DC2">
              <w:rPr>
                <w:i/>
                <w:iCs/>
              </w:rPr>
              <w:t>- Sutartį galės vykdyti tik nustatytus kvalifikacijos reikalavimus atitinkantys specialistai;</w:t>
            </w:r>
          </w:p>
          <w:p w14:paraId="06D73A86" w14:textId="77777777" w:rsidR="00A17490" w:rsidRDefault="00A17490" w:rsidP="00A17490">
            <w:pPr>
              <w:ind w:left="33"/>
              <w:contextualSpacing/>
              <w:jc w:val="both"/>
              <w:rPr>
                <w:rFonts w:cs="Calibri"/>
                <w:bCs/>
                <w:i/>
              </w:rPr>
            </w:pPr>
            <w:r w:rsidRPr="00E70DC2">
              <w:rPr>
                <w:i/>
                <w:iCs/>
              </w:rPr>
              <w:t>- jeigu kvalifikacij</w:t>
            </w:r>
            <w:r>
              <w:rPr>
                <w:i/>
                <w:iCs/>
              </w:rPr>
              <w:t xml:space="preserve">ą patvirtinančių dokumentų </w:t>
            </w:r>
            <w:r w:rsidRPr="00E70DC2">
              <w:rPr>
                <w:i/>
                <w:iCs/>
              </w:rPr>
              <w:t>galiojimo laikotarpis pasibaigtų Sutarčiai nepasibaigus, jie turi būti pratęsti ir galioti visą Sutarties įgyvendinimo laikotarpį</w:t>
            </w:r>
            <w:r>
              <w:rPr>
                <w:rFonts w:cs="Calibri"/>
                <w:bCs/>
                <w:i/>
              </w:rPr>
              <w:t>.</w:t>
            </w:r>
          </w:p>
          <w:p w14:paraId="30DAD109" w14:textId="09ECCDA5" w:rsidR="00A17490" w:rsidRPr="00D8068F" w:rsidRDefault="00A17490" w:rsidP="00A17490">
            <w:pPr>
              <w:ind w:left="33"/>
              <w:contextualSpacing/>
              <w:jc w:val="both"/>
              <w:rPr>
                <w:rFonts w:cs="Calibri"/>
                <w:bCs/>
                <w:i/>
              </w:rPr>
            </w:pPr>
            <w:r w:rsidRPr="005206EB">
              <w:rPr>
                <w:i/>
                <w:iCs/>
              </w:rPr>
              <w:t>Pateikiami skenuoti arba el. parašu pasirašyti dokumentai</w:t>
            </w:r>
            <w:r w:rsidRPr="005206EB">
              <w:rPr>
                <w:i/>
              </w:rPr>
              <w:t>.</w:t>
            </w:r>
          </w:p>
        </w:tc>
      </w:tr>
    </w:tbl>
    <w:p w14:paraId="2E0C30C9" w14:textId="77777777" w:rsidR="003A063E" w:rsidRPr="003A063E" w:rsidRDefault="003A063E" w:rsidP="003A063E">
      <w:pPr>
        <w:widowControl w:val="0"/>
        <w:tabs>
          <w:tab w:val="left" w:pos="1134"/>
          <w:tab w:val="left" w:pos="1418"/>
        </w:tabs>
        <w:contextualSpacing/>
        <w:jc w:val="both"/>
        <w:rPr>
          <w:i/>
          <w:color w:val="000000" w:themeColor="text1"/>
        </w:rPr>
      </w:pPr>
      <w:bookmarkStart w:id="23" w:name="_Hlk181605543"/>
      <w:bookmarkEnd w:id="20"/>
      <w:r w:rsidRPr="003A063E">
        <w:rPr>
          <w:i/>
          <w:color w:val="000000" w:themeColor="text1"/>
        </w:rPr>
        <w:lastRenderedPageBreak/>
        <w:t>Pastabos:</w:t>
      </w:r>
    </w:p>
    <w:bookmarkEnd w:id="23"/>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25FBB94A"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w:t>
      </w:r>
      <w:r w:rsidR="003A063E" w:rsidRPr="003A063E">
        <w:rPr>
          <w:i/>
          <w:color w:val="000000" w:themeColor="text1"/>
          <w:sz w:val="24"/>
          <w:szCs w:val="24"/>
          <w:lang w:eastAsia="en-US"/>
        </w:rPr>
        <w:lastRenderedPageBreak/>
        <w:t xml:space="preserve">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kvazisubtiekėjo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r w:rsidRPr="00E96566">
        <w:rPr>
          <w:b/>
          <w:bCs/>
          <w:lang w:eastAsia="lt-LT"/>
        </w:rPr>
        <w:t xml:space="preserve">kvazisubtiekėjas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8F337ED"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4"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4"/>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Jeigu ūkio subjektas netenkina jam nustatyto bent vieno kvalifikacijos reikalavimo arba jo padėtis atitinka bent vieną konkurso sąlygų apraše </w:t>
      </w:r>
      <w:r w:rsidRPr="00E96566">
        <w:rPr>
          <w:rFonts w:eastAsia="Calibri"/>
        </w:rPr>
        <w:lastRenderedPageBreak/>
        <w:t>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25"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26"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kvazisubtiekėjas.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w:t>
      </w:r>
      <w:r w:rsidR="009F4866">
        <w:rPr>
          <w:b/>
          <w:bCs/>
          <w:lang w:eastAsia="lt-LT"/>
        </w:rPr>
        <w:t xml:space="preserve">neleistinu </w:t>
      </w:r>
      <w:r w:rsidRPr="00E96566">
        <w:rPr>
          <w:b/>
          <w:bCs/>
          <w:lang w:eastAsia="lt-LT"/>
        </w:rPr>
        <w:t>pasiūlymo keitimu, ir todėl toks tiekėjo pasiūlymas būtų atmetamas</w:t>
      </w:r>
      <w:bookmarkEnd w:id="26"/>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 xml:space="preserve">solidarią visų šios sutarties </w:t>
      </w:r>
      <w:r w:rsidRPr="00F90AD8">
        <w:rPr>
          <w:b/>
          <w:bCs/>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8"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77777777" w:rsidR="00A85B99" w:rsidRPr="00A85B99" w:rsidRDefault="00A85B99" w:rsidP="005F7BDB">
      <w:pPr>
        <w:widowControl w:val="0"/>
        <w:numPr>
          <w:ilvl w:val="0"/>
          <w:numId w:val="14"/>
        </w:numPr>
        <w:tabs>
          <w:tab w:val="left" w:pos="1134"/>
        </w:tabs>
        <w:ind w:left="0" w:firstLine="719"/>
        <w:jc w:val="both"/>
        <w:rPr>
          <w:b/>
          <w:i/>
          <w:color w:val="000080"/>
        </w:rPr>
      </w:pPr>
      <w:bookmarkStart w:id="29"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9"/>
      <w:r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0"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30"/>
      <w:r w:rsidRPr="00A85B99">
        <w:t>.</w:t>
      </w:r>
    </w:p>
    <w:p w14:paraId="3A2880DC" w14:textId="0E6DED2C"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8"/>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1" w:name="Dokumentai"/>
      <w:bookmarkStart w:id="32" w:name="pd"/>
      <w:bookmarkEnd w:id="31"/>
      <w:r w:rsidRPr="00831729">
        <w:rPr>
          <w:b/>
        </w:rPr>
        <w:lastRenderedPageBreak/>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3"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3"/>
      <w:r w:rsidRPr="00525518">
        <w:rPr>
          <w:i/>
          <w:iCs/>
          <w:sz w:val="24"/>
          <w:szCs w:val="24"/>
        </w:rPr>
        <w:t xml:space="preserve">: </w:t>
      </w:r>
      <w:hyperlink r:id="rId23"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4" w:history="1">
        <w:r w:rsidRPr="00525518">
          <w:rPr>
            <w:rStyle w:val="Hipersaitas"/>
            <w:i/>
            <w:iCs/>
            <w:sz w:val="24"/>
            <w:szCs w:val="24"/>
            <w:u w:val="none"/>
          </w:rPr>
          <w:t>Kaip sėkmingai dalyvauti viešuosiuose pirkimuose - Viešųjų pirkimų tarnyba (lrv.lt)</w:t>
        </w:r>
      </w:hyperlink>
      <w:r w:rsidRPr="00525518">
        <w:rPr>
          <w:sz w:val="24"/>
          <w:szCs w:val="24"/>
        </w:rPr>
        <w:t>;</w:t>
      </w:r>
    </w:p>
    <w:p w14:paraId="49EDED3B" w14:textId="4E9C227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0E4E97">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kvazisubtiekėjais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2"/>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4"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5"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 xml:space="preserve">Tiekėjas iki galutinio pasiūlymų pateikimo termino turi teisę pakeisti arba atšaukti savo pasiūlymą. Norėdamas vėl pateikti atšauktą ir pakeistą pasiūlymą, tiekėjas turi jį pateikti iš naujo. </w:t>
      </w:r>
      <w:r w:rsidRPr="00087E23">
        <w:lastRenderedPageBreak/>
        <w:t>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6"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6"/>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lastRenderedPageBreak/>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lastRenderedPageBreak/>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7" w:name="_Hlk128677779"/>
      <w:r w:rsidRPr="00C66885">
        <w:rPr>
          <w:sz w:val="24"/>
          <w:szCs w:val="24"/>
        </w:rPr>
        <w:t>atitiktį kvalifikacijos reikalavimams</w:t>
      </w:r>
      <w:bookmarkEnd w:id="37"/>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0E58927E" w:rsidR="00321C40" w:rsidRPr="00C66885" w:rsidRDefault="00321C40" w:rsidP="005F7BDB">
      <w:pPr>
        <w:widowControl w:val="0"/>
        <w:numPr>
          <w:ilvl w:val="0"/>
          <w:numId w:val="14"/>
        </w:numPr>
        <w:tabs>
          <w:tab w:val="left" w:pos="993"/>
          <w:tab w:val="left" w:pos="1134"/>
        </w:tabs>
        <w:ind w:left="0" w:firstLine="709"/>
        <w:jc w:val="both"/>
      </w:pPr>
      <w:bookmarkStart w:id="39"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0" w:name="_Hlk127458020"/>
      <w:r w:rsidR="007A7179">
        <w:rPr>
          <w:b/>
        </w:rPr>
        <w:t xml:space="preserve"> </w:t>
      </w:r>
      <w:r w:rsidRPr="00C66885">
        <w:rPr>
          <w:b/>
        </w:rPr>
        <w:t>patvirtinančių dokumentų</w:t>
      </w:r>
      <w:bookmarkEnd w:id="40"/>
      <w:r w:rsidRPr="00C66885">
        <w:rPr>
          <w:b/>
        </w:rPr>
        <w:t xml:space="preserve"> reikalaujama tik iš to tiekėjo, kurio pasiūlymas pagal vertinimo rezultatus gali būti pripažintas laimėjusiu (po pasiūlymų eilės sudarymo)</w:t>
      </w:r>
      <w:bookmarkEnd w:id="39"/>
      <w:r w:rsidRPr="00C66885">
        <w:rPr>
          <w:b/>
        </w:rPr>
        <w:t>.</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42"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2"/>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6"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7"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 xml:space="preserve">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w:t>
      </w:r>
      <w:r w:rsidRPr="00990C35">
        <w:rPr>
          <w:rFonts w:eastAsia="Calibri"/>
          <w:sz w:val="24"/>
          <w:szCs w:val="24"/>
        </w:rPr>
        <w:lastRenderedPageBreak/>
        <w:t>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8"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8"/>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9" w:name="_Hlk128678358"/>
      <w:r w:rsidRPr="007B5532">
        <w:t>kvalifikacijos atitiktį</w:t>
      </w:r>
      <w:bookmarkStart w:id="50" w:name="_Hlk127458430"/>
      <w:r w:rsidRPr="007B5532">
        <w:t>, jei prieš tai nebuvo įvertinta</w:t>
      </w:r>
      <w:bookmarkEnd w:id="49"/>
      <w:bookmarkEnd w:id="50"/>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905E12">
        <w:rPr>
          <w:sz w:val="24"/>
          <w:szCs w:val="24"/>
        </w:rPr>
        <w:lastRenderedPageBreak/>
        <w:t>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1FDD022D"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990C35">
        <w:rPr>
          <w:sz w:val="24"/>
          <w:szCs w:val="24"/>
        </w:rPr>
        <w:t>5</w:t>
      </w:r>
      <w:r w:rsidRPr="003B66E5">
        <w:rPr>
          <w:sz w:val="24"/>
          <w:szCs w:val="24"/>
        </w:rPr>
        <w:t xml:space="preserve"> priede pateikiamą </w:t>
      </w:r>
      <w:r w:rsidR="00447B33" w:rsidRPr="003B66E5">
        <w:rPr>
          <w:sz w:val="24"/>
          <w:szCs w:val="24"/>
        </w:rPr>
        <w:t>paslaugų sutarties</w:t>
      </w:r>
      <w:r w:rsidRPr="003B66E5">
        <w:rPr>
          <w:sz w:val="24"/>
          <w:szCs w:val="24"/>
        </w:rPr>
        <w:t xml:space="preserve"> projektą.</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6"/>
  </w:num>
  <w:num w:numId="5">
    <w:abstractNumId w:val="18"/>
  </w:num>
  <w:num w:numId="6">
    <w:abstractNumId w:val="10"/>
  </w:num>
  <w:num w:numId="7">
    <w:abstractNumId w:val="20"/>
  </w:num>
  <w:num w:numId="8">
    <w:abstractNumId w:val="21"/>
  </w:num>
  <w:num w:numId="9">
    <w:abstractNumId w:val="0"/>
  </w:num>
  <w:num w:numId="10">
    <w:abstractNumId w:val="2"/>
  </w:num>
  <w:num w:numId="11">
    <w:abstractNumId w:val="12"/>
  </w:num>
  <w:num w:numId="12">
    <w:abstractNumId w:val="15"/>
  </w:num>
  <w:num w:numId="13">
    <w:abstractNumId w:val="4"/>
  </w:num>
  <w:num w:numId="14">
    <w:abstractNumId w:val="19"/>
  </w:num>
  <w:num w:numId="15">
    <w:abstractNumId w:val="3"/>
  </w:num>
  <w:num w:numId="16">
    <w:abstractNumId w:val="13"/>
  </w:num>
  <w:num w:numId="17">
    <w:abstractNumId w:val="22"/>
  </w:num>
  <w:num w:numId="18">
    <w:abstractNumId w:val="8"/>
  </w:num>
  <w:num w:numId="19">
    <w:abstractNumId w:val="17"/>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907"/>
    <w:rsid w:val="00F07B91"/>
    <w:rsid w:val="00F10C9A"/>
    <w:rsid w:val="00F10CA2"/>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ebvpd.eviesiejipirkimai.lt/espd-web/filter?lang=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aurelija.umantai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3573</TotalTime>
  <Pages>24</Pages>
  <Words>51033</Words>
  <Characters>29089</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1504</cp:revision>
  <cp:lastPrinted>2025-01-27T07:30:00Z</cp:lastPrinted>
  <dcterms:created xsi:type="dcterms:W3CDTF">2024-02-01T08:06:00Z</dcterms:created>
  <dcterms:modified xsi:type="dcterms:W3CDTF">2025-01-27T14:19:00Z</dcterms:modified>
</cp:coreProperties>
</file>