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197EB" w14:textId="77777777" w:rsidR="008D07BC" w:rsidRPr="00B02CD0" w:rsidRDefault="008D07BC" w:rsidP="00B02CD0">
      <w:pPr>
        <w:spacing w:after="160" w:line="259" w:lineRule="auto"/>
        <w:jc w:val="both"/>
        <w:rPr>
          <w:rFonts w:ascii="Trebuchet MS" w:hAnsi="Trebuchet MS"/>
          <w:bCs/>
          <w:sz w:val="22"/>
          <w:szCs w:val="22"/>
        </w:rPr>
      </w:pPr>
    </w:p>
    <w:p w14:paraId="06FB5A93" w14:textId="77777777" w:rsidR="008D07BC" w:rsidRPr="00B02CD0" w:rsidRDefault="49DAF4AA" w:rsidP="00B02CD0">
      <w:pPr>
        <w:spacing w:line="276" w:lineRule="auto"/>
        <w:jc w:val="center"/>
        <w:rPr>
          <w:rFonts w:ascii="Trebuchet MS" w:hAnsi="Trebuchet MS"/>
          <w:sz w:val="22"/>
          <w:szCs w:val="22"/>
        </w:rPr>
      </w:pPr>
      <w:r w:rsidRPr="00B02CD0">
        <w:rPr>
          <w:rFonts w:ascii="Trebuchet MS" w:hAnsi="Trebuchet MS"/>
          <w:b/>
          <w:bCs/>
          <w:sz w:val="22"/>
          <w:szCs w:val="22"/>
        </w:rPr>
        <w:t>TECHNINĖ SPECIFIKACIJA</w:t>
      </w:r>
    </w:p>
    <w:p w14:paraId="17FA8F35" w14:textId="03C9F361" w:rsidR="2DBB8FEB" w:rsidRPr="00B02CD0" w:rsidRDefault="2DBB8FEB" w:rsidP="00B02CD0">
      <w:pPr>
        <w:spacing w:line="276" w:lineRule="auto"/>
        <w:jc w:val="both"/>
        <w:rPr>
          <w:rFonts w:ascii="Trebuchet MS" w:hAnsi="Trebuchet MS"/>
          <w:b/>
          <w:bCs/>
          <w:sz w:val="22"/>
          <w:szCs w:val="22"/>
        </w:rPr>
      </w:pPr>
    </w:p>
    <w:p w14:paraId="2F3E2977" w14:textId="55C81657" w:rsidR="00546874" w:rsidRPr="00B02CD0" w:rsidRDefault="00546874" w:rsidP="00804597">
      <w:pPr>
        <w:numPr>
          <w:ilvl w:val="0"/>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PIRKIMO OBJEKTAS</w:t>
      </w:r>
    </w:p>
    <w:p w14:paraId="47C541A1" w14:textId="12342F76" w:rsidR="00546874" w:rsidRPr="00B02CD0" w:rsidRDefault="00546874"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Pirkimo objektas – personalo valdymo, darbo laiko ir darbo užmokesčio apskaitos informacinės sistemos „</w:t>
      </w:r>
      <w:proofErr w:type="spellStart"/>
      <w:r w:rsidRPr="00B02CD0">
        <w:rPr>
          <w:rFonts w:ascii="Trebuchet MS" w:hAnsi="Trebuchet MS"/>
          <w:bCs/>
          <w:sz w:val="22"/>
          <w:szCs w:val="22"/>
        </w:rPr>
        <w:t>Vikarina</w:t>
      </w:r>
      <w:proofErr w:type="spellEnd"/>
      <w:r w:rsidRPr="00B02CD0">
        <w:rPr>
          <w:rFonts w:ascii="Trebuchet MS" w:hAnsi="Trebuchet MS"/>
          <w:bCs/>
          <w:sz w:val="22"/>
          <w:szCs w:val="22"/>
        </w:rPr>
        <w:t>“ (toliau – Sistema) priežiūros ir programavimo (vystymo) paslaugos.</w:t>
      </w:r>
    </w:p>
    <w:p w14:paraId="106FF198" w14:textId="5ADB7D41" w:rsidR="00546874" w:rsidRPr="00B02CD0" w:rsidRDefault="00546874"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Pirkimo objektas į dalis neskirstomas.</w:t>
      </w:r>
    </w:p>
    <w:p w14:paraId="4E7BF1FC" w14:textId="2A9F5DA0" w:rsidR="00546874" w:rsidRPr="00B02CD0" w:rsidRDefault="00546874"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Pirkimo objekto apimtys:</w:t>
      </w:r>
    </w:p>
    <w:tbl>
      <w:tblPr>
        <w:tblW w:w="9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9"/>
        <w:gridCol w:w="5569"/>
        <w:gridCol w:w="1489"/>
        <w:gridCol w:w="1620"/>
      </w:tblGrid>
      <w:tr w:rsidR="00546874" w:rsidRPr="00B02CD0" w14:paraId="69F9F3E4" w14:textId="77777777" w:rsidTr="00EE0370">
        <w:trPr>
          <w:trHeight w:val="513"/>
          <w:tblHeader/>
          <w:jc w:val="center"/>
        </w:trPr>
        <w:tc>
          <w:tcPr>
            <w:tcW w:w="567" w:type="dxa"/>
            <w:tcBorders>
              <w:top w:val="single" w:sz="4" w:space="0" w:color="auto"/>
              <w:left w:val="single" w:sz="4" w:space="0" w:color="auto"/>
              <w:bottom w:val="single" w:sz="4" w:space="0" w:color="auto"/>
              <w:right w:val="single" w:sz="4" w:space="0" w:color="auto"/>
            </w:tcBorders>
            <w:vAlign w:val="center"/>
          </w:tcPr>
          <w:p w14:paraId="03FF2D89" w14:textId="77777777" w:rsidR="00546874" w:rsidRPr="00B02CD0" w:rsidRDefault="00546874" w:rsidP="00804597">
            <w:pPr>
              <w:ind w:firstLine="426"/>
              <w:jc w:val="both"/>
              <w:rPr>
                <w:rFonts w:ascii="Trebuchet MS" w:hAnsi="Trebuchet MS"/>
                <w:bCs/>
                <w:sz w:val="22"/>
                <w:szCs w:val="22"/>
              </w:rPr>
            </w:pPr>
            <w:r w:rsidRPr="00B02CD0">
              <w:rPr>
                <w:rFonts w:ascii="Trebuchet MS" w:hAnsi="Trebuchet MS"/>
                <w:bCs/>
                <w:sz w:val="22"/>
                <w:szCs w:val="22"/>
              </w:rPr>
              <w:t>Eil. Nr.</w:t>
            </w:r>
          </w:p>
        </w:tc>
        <w:tc>
          <w:tcPr>
            <w:tcW w:w="6009" w:type="dxa"/>
            <w:tcBorders>
              <w:top w:val="single" w:sz="4" w:space="0" w:color="auto"/>
              <w:left w:val="single" w:sz="4" w:space="0" w:color="auto"/>
              <w:bottom w:val="single" w:sz="4" w:space="0" w:color="auto"/>
              <w:right w:val="single" w:sz="4" w:space="0" w:color="auto"/>
            </w:tcBorders>
            <w:vAlign w:val="center"/>
          </w:tcPr>
          <w:p w14:paraId="6F82A434" w14:textId="77777777" w:rsidR="00546874" w:rsidRPr="00B02CD0" w:rsidRDefault="00546874" w:rsidP="00804597">
            <w:pPr>
              <w:ind w:firstLine="426"/>
              <w:jc w:val="both"/>
              <w:rPr>
                <w:rFonts w:ascii="Trebuchet MS" w:hAnsi="Trebuchet MS"/>
                <w:bCs/>
                <w:sz w:val="22"/>
                <w:szCs w:val="22"/>
              </w:rPr>
            </w:pPr>
            <w:r w:rsidRPr="00B02CD0">
              <w:rPr>
                <w:rFonts w:ascii="Trebuchet MS" w:hAnsi="Trebuchet MS"/>
                <w:bCs/>
                <w:sz w:val="22"/>
                <w:szCs w:val="22"/>
              </w:rPr>
              <w:t>Paslaugos pavadinimas</w:t>
            </w:r>
          </w:p>
        </w:tc>
        <w:tc>
          <w:tcPr>
            <w:tcW w:w="1400" w:type="dxa"/>
            <w:tcBorders>
              <w:top w:val="single" w:sz="4" w:space="0" w:color="auto"/>
              <w:left w:val="single" w:sz="4" w:space="0" w:color="auto"/>
              <w:bottom w:val="single" w:sz="4" w:space="0" w:color="auto"/>
              <w:right w:val="single" w:sz="4" w:space="0" w:color="auto"/>
            </w:tcBorders>
            <w:vAlign w:val="center"/>
          </w:tcPr>
          <w:p w14:paraId="01E24B04" w14:textId="77777777" w:rsidR="00546874" w:rsidRPr="00B02CD0" w:rsidRDefault="00546874" w:rsidP="00804597">
            <w:pPr>
              <w:ind w:firstLine="426"/>
              <w:jc w:val="both"/>
              <w:rPr>
                <w:rFonts w:ascii="Trebuchet MS" w:hAnsi="Trebuchet MS"/>
                <w:bCs/>
                <w:sz w:val="22"/>
                <w:szCs w:val="22"/>
              </w:rPr>
            </w:pPr>
            <w:r w:rsidRPr="00B02CD0">
              <w:rPr>
                <w:rFonts w:ascii="Trebuchet MS" w:hAnsi="Trebuchet MS"/>
                <w:bCs/>
                <w:sz w:val="22"/>
                <w:szCs w:val="22"/>
              </w:rPr>
              <w:t>Mato vienetas</w:t>
            </w:r>
          </w:p>
        </w:tc>
        <w:tc>
          <w:tcPr>
            <w:tcW w:w="1671" w:type="dxa"/>
            <w:tcBorders>
              <w:top w:val="single" w:sz="4" w:space="0" w:color="auto"/>
              <w:left w:val="single" w:sz="4" w:space="0" w:color="auto"/>
              <w:bottom w:val="single" w:sz="4" w:space="0" w:color="auto"/>
              <w:right w:val="single" w:sz="4" w:space="0" w:color="auto"/>
            </w:tcBorders>
            <w:vAlign w:val="center"/>
          </w:tcPr>
          <w:p w14:paraId="61649020" w14:textId="07FD461D" w:rsidR="00546874" w:rsidRPr="00B02CD0" w:rsidRDefault="00546874" w:rsidP="00804597">
            <w:pPr>
              <w:ind w:firstLine="426"/>
              <w:jc w:val="both"/>
              <w:rPr>
                <w:rFonts w:ascii="Trebuchet MS" w:hAnsi="Trebuchet MS"/>
                <w:bCs/>
                <w:sz w:val="22"/>
                <w:szCs w:val="22"/>
              </w:rPr>
            </w:pPr>
            <w:r w:rsidRPr="00B02CD0">
              <w:rPr>
                <w:rFonts w:ascii="Trebuchet MS" w:hAnsi="Trebuchet MS"/>
                <w:bCs/>
                <w:sz w:val="22"/>
                <w:szCs w:val="22"/>
              </w:rPr>
              <w:t>Kiekis</w:t>
            </w:r>
          </w:p>
        </w:tc>
      </w:tr>
      <w:tr w:rsidR="00546874" w:rsidRPr="00B02CD0" w14:paraId="1A68616C" w14:textId="77777777" w:rsidTr="00EE0370">
        <w:trPr>
          <w:trHeight w:val="513"/>
          <w:tblHeader/>
          <w:jc w:val="center"/>
        </w:trPr>
        <w:tc>
          <w:tcPr>
            <w:tcW w:w="567" w:type="dxa"/>
            <w:tcBorders>
              <w:top w:val="single" w:sz="4" w:space="0" w:color="auto"/>
              <w:left w:val="single" w:sz="4" w:space="0" w:color="auto"/>
              <w:bottom w:val="single" w:sz="4" w:space="0" w:color="auto"/>
              <w:right w:val="single" w:sz="4" w:space="0" w:color="auto"/>
            </w:tcBorders>
            <w:vAlign w:val="center"/>
          </w:tcPr>
          <w:p w14:paraId="350E619F" w14:textId="77777777" w:rsidR="00546874" w:rsidRPr="00B02CD0" w:rsidRDefault="00546874" w:rsidP="00804597">
            <w:pPr>
              <w:ind w:firstLine="426"/>
              <w:jc w:val="both"/>
              <w:rPr>
                <w:rFonts w:ascii="Trebuchet MS" w:hAnsi="Trebuchet MS"/>
                <w:bCs/>
                <w:sz w:val="22"/>
                <w:szCs w:val="22"/>
              </w:rPr>
            </w:pPr>
            <w:r w:rsidRPr="00B02CD0">
              <w:rPr>
                <w:rFonts w:ascii="Trebuchet MS" w:hAnsi="Trebuchet MS"/>
                <w:bCs/>
                <w:sz w:val="22"/>
                <w:szCs w:val="22"/>
              </w:rPr>
              <w:t>1.</w:t>
            </w:r>
          </w:p>
        </w:tc>
        <w:tc>
          <w:tcPr>
            <w:tcW w:w="6009" w:type="dxa"/>
            <w:tcBorders>
              <w:top w:val="single" w:sz="4" w:space="0" w:color="auto"/>
              <w:left w:val="single" w:sz="4" w:space="0" w:color="auto"/>
              <w:bottom w:val="single" w:sz="4" w:space="0" w:color="auto"/>
              <w:right w:val="single" w:sz="4" w:space="0" w:color="auto"/>
            </w:tcBorders>
            <w:vAlign w:val="center"/>
          </w:tcPr>
          <w:p w14:paraId="03C3EAE8" w14:textId="77777777" w:rsidR="00546874" w:rsidRPr="00B02CD0" w:rsidRDefault="00546874" w:rsidP="00804597">
            <w:pPr>
              <w:ind w:firstLine="426"/>
              <w:jc w:val="both"/>
              <w:rPr>
                <w:rFonts w:ascii="Trebuchet MS" w:hAnsi="Trebuchet MS"/>
                <w:bCs/>
                <w:sz w:val="22"/>
                <w:szCs w:val="22"/>
              </w:rPr>
            </w:pPr>
            <w:r w:rsidRPr="00B02CD0">
              <w:rPr>
                <w:rFonts w:ascii="Trebuchet MS" w:hAnsi="Trebuchet MS"/>
                <w:bCs/>
                <w:sz w:val="22"/>
                <w:szCs w:val="22"/>
              </w:rPr>
              <w:t>Priežiūros ir palaikymo paslaugos</w:t>
            </w:r>
          </w:p>
        </w:tc>
        <w:tc>
          <w:tcPr>
            <w:tcW w:w="1400" w:type="dxa"/>
            <w:tcBorders>
              <w:top w:val="single" w:sz="4" w:space="0" w:color="auto"/>
              <w:left w:val="single" w:sz="4" w:space="0" w:color="auto"/>
              <w:bottom w:val="single" w:sz="4" w:space="0" w:color="auto"/>
              <w:right w:val="single" w:sz="4" w:space="0" w:color="auto"/>
            </w:tcBorders>
            <w:vAlign w:val="center"/>
          </w:tcPr>
          <w:p w14:paraId="0E17671A" w14:textId="77777777" w:rsidR="00546874" w:rsidRPr="00B02CD0" w:rsidRDefault="00546874" w:rsidP="00804597">
            <w:pPr>
              <w:ind w:firstLine="426"/>
              <w:jc w:val="both"/>
              <w:rPr>
                <w:rFonts w:ascii="Trebuchet MS" w:hAnsi="Trebuchet MS"/>
                <w:bCs/>
                <w:sz w:val="22"/>
                <w:szCs w:val="22"/>
              </w:rPr>
            </w:pPr>
            <w:r w:rsidRPr="00B02CD0">
              <w:rPr>
                <w:rFonts w:ascii="Trebuchet MS" w:hAnsi="Trebuchet MS"/>
                <w:bCs/>
                <w:sz w:val="22"/>
                <w:szCs w:val="22"/>
              </w:rPr>
              <w:t>Mėnesiai</w:t>
            </w:r>
          </w:p>
        </w:tc>
        <w:tc>
          <w:tcPr>
            <w:tcW w:w="1671" w:type="dxa"/>
            <w:tcBorders>
              <w:top w:val="single" w:sz="4" w:space="0" w:color="auto"/>
              <w:left w:val="single" w:sz="4" w:space="0" w:color="auto"/>
              <w:bottom w:val="single" w:sz="4" w:space="0" w:color="auto"/>
              <w:right w:val="single" w:sz="4" w:space="0" w:color="auto"/>
            </w:tcBorders>
            <w:vAlign w:val="center"/>
          </w:tcPr>
          <w:p w14:paraId="32DB195A" w14:textId="69DD75F9" w:rsidR="00546874" w:rsidRPr="00B02CD0" w:rsidRDefault="004F55A9" w:rsidP="00804597">
            <w:pPr>
              <w:ind w:firstLine="426"/>
              <w:jc w:val="both"/>
              <w:rPr>
                <w:rFonts w:ascii="Trebuchet MS" w:hAnsi="Trebuchet MS"/>
                <w:bCs/>
                <w:sz w:val="22"/>
                <w:szCs w:val="22"/>
              </w:rPr>
            </w:pPr>
            <w:r w:rsidRPr="00B02CD0">
              <w:rPr>
                <w:rFonts w:ascii="Trebuchet MS" w:hAnsi="Trebuchet MS"/>
                <w:bCs/>
                <w:sz w:val="22"/>
                <w:szCs w:val="22"/>
              </w:rPr>
              <w:t>24</w:t>
            </w:r>
          </w:p>
        </w:tc>
      </w:tr>
      <w:tr w:rsidR="00546874" w:rsidRPr="00B02CD0" w14:paraId="3130D678" w14:textId="77777777" w:rsidTr="00EE0370">
        <w:trPr>
          <w:trHeight w:val="513"/>
          <w:tblHeader/>
          <w:jc w:val="center"/>
        </w:trPr>
        <w:tc>
          <w:tcPr>
            <w:tcW w:w="567" w:type="dxa"/>
            <w:tcBorders>
              <w:top w:val="single" w:sz="4" w:space="0" w:color="auto"/>
              <w:left w:val="single" w:sz="4" w:space="0" w:color="auto"/>
              <w:bottom w:val="single" w:sz="4" w:space="0" w:color="auto"/>
              <w:right w:val="single" w:sz="4" w:space="0" w:color="auto"/>
            </w:tcBorders>
            <w:vAlign w:val="center"/>
          </w:tcPr>
          <w:p w14:paraId="316E29E7" w14:textId="77777777" w:rsidR="00546874" w:rsidRPr="00B02CD0" w:rsidRDefault="00546874" w:rsidP="00804597">
            <w:pPr>
              <w:ind w:firstLine="426"/>
              <w:jc w:val="both"/>
              <w:rPr>
                <w:rFonts w:ascii="Trebuchet MS" w:hAnsi="Trebuchet MS"/>
                <w:bCs/>
                <w:sz w:val="22"/>
                <w:szCs w:val="22"/>
              </w:rPr>
            </w:pPr>
            <w:r w:rsidRPr="00B02CD0">
              <w:rPr>
                <w:rFonts w:ascii="Trebuchet MS" w:hAnsi="Trebuchet MS"/>
                <w:bCs/>
                <w:sz w:val="22"/>
                <w:szCs w:val="22"/>
              </w:rPr>
              <w:t xml:space="preserve">2. </w:t>
            </w:r>
          </w:p>
        </w:tc>
        <w:tc>
          <w:tcPr>
            <w:tcW w:w="6009" w:type="dxa"/>
            <w:tcBorders>
              <w:top w:val="single" w:sz="4" w:space="0" w:color="auto"/>
              <w:left w:val="single" w:sz="4" w:space="0" w:color="auto"/>
              <w:bottom w:val="single" w:sz="4" w:space="0" w:color="auto"/>
              <w:right w:val="single" w:sz="4" w:space="0" w:color="auto"/>
            </w:tcBorders>
            <w:vAlign w:val="center"/>
          </w:tcPr>
          <w:p w14:paraId="6A4A4933" w14:textId="24452BC9" w:rsidR="00546874" w:rsidRPr="00B02CD0" w:rsidRDefault="00546874" w:rsidP="00804597">
            <w:pPr>
              <w:ind w:firstLine="426"/>
              <w:jc w:val="both"/>
              <w:rPr>
                <w:rFonts w:ascii="Trebuchet MS" w:hAnsi="Trebuchet MS"/>
                <w:bCs/>
                <w:sz w:val="22"/>
                <w:szCs w:val="22"/>
              </w:rPr>
            </w:pPr>
            <w:r w:rsidRPr="00B02CD0">
              <w:rPr>
                <w:rFonts w:ascii="Trebuchet MS" w:hAnsi="Trebuchet MS"/>
                <w:bCs/>
                <w:sz w:val="22"/>
                <w:szCs w:val="22"/>
              </w:rPr>
              <w:t>Programavimo</w:t>
            </w:r>
            <w:r w:rsidR="006A70B3">
              <w:rPr>
                <w:rFonts w:ascii="Trebuchet MS" w:hAnsi="Trebuchet MS"/>
                <w:bCs/>
                <w:sz w:val="22"/>
                <w:szCs w:val="22"/>
              </w:rPr>
              <w:t xml:space="preserve"> (vystymo)</w:t>
            </w:r>
            <w:r w:rsidRPr="00B02CD0">
              <w:rPr>
                <w:rFonts w:ascii="Trebuchet MS" w:hAnsi="Trebuchet MS"/>
                <w:bCs/>
                <w:sz w:val="22"/>
                <w:szCs w:val="22"/>
              </w:rPr>
              <w:t xml:space="preserve"> valandos</w:t>
            </w:r>
          </w:p>
        </w:tc>
        <w:tc>
          <w:tcPr>
            <w:tcW w:w="1400" w:type="dxa"/>
            <w:tcBorders>
              <w:top w:val="single" w:sz="4" w:space="0" w:color="auto"/>
              <w:left w:val="single" w:sz="4" w:space="0" w:color="auto"/>
              <w:bottom w:val="single" w:sz="4" w:space="0" w:color="auto"/>
              <w:right w:val="single" w:sz="4" w:space="0" w:color="auto"/>
            </w:tcBorders>
            <w:vAlign w:val="center"/>
          </w:tcPr>
          <w:p w14:paraId="3EE711E7" w14:textId="77777777" w:rsidR="00546874" w:rsidRPr="00B02CD0" w:rsidRDefault="00546874" w:rsidP="00804597">
            <w:pPr>
              <w:ind w:firstLine="426"/>
              <w:jc w:val="both"/>
              <w:rPr>
                <w:rFonts w:ascii="Trebuchet MS" w:hAnsi="Trebuchet MS"/>
                <w:bCs/>
                <w:sz w:val="22"/>
                <w:szCs w:val="22"/>
              </w:rPr>
            </w:pPr>
            <w:r w:rsidRPr="00B02CD0">
              <w:rPr>
                <w:rFonts w:ascii="Trebuchet MS" w:hAnsi="Trebuchet MS"/>
                <w:bCs/>
                <w:sz w:val="22"/>
                <w:szCs w:val="22"/>
              </w:rPr>
              <w:t>Val.</w:t>
            </w:r>
          </w:p>
        </w:tc>
        <w:tc>
          <w:tcPr>
            <w:tcW w:w="1671" w:type="dxa"/>
            <w:tcBorders>
              <w:top w:val="single" w:sz="4" w:space="0" w:color="auto"/>
              <w:left w:val="single" w:sz="4" w:space="0" w:color="auto"/>
              <w:bottom w:val="single" w:sz="4" w:space="0" w:color="auto"/>
              <w:right w:val="single" w:sz="4" w:space="0" w:color="auto"/>
            </w:tcBorders>
            <w:vAlign w:val="center"/>
          </w:tcPr>
          <w:p w14:paraId="41A6A5BB" w14:textId="1940DA96" w:rsidR="00546874" w:rsidRPr="00B02CD0" w:rsidRDefault="00AD0808" w:rsidP="00804597">
            <w:pPr>
              <w:ind w:firstLine="426"/>
              <w:jc w:val="both"/>
              <w:rPr>
                <w:rFonts w:ascii="Trebuchet MS" w:hAnsi="Trebuchet MS"/>
                <w:bCs/>
                <w:sz w:val="22"/>
                <w:szCs w:val="22"/>
              </w:rPr>
            </w:pPr>
            <w:r w:rsidRPr="00B02CD0">
              <w:rPr>
                <w:rFonts w:ascii="Trebuchet MS" w:hAnsi="Trebuchet MS"/>
                <w:bCs/>
                <w:sz w:val="22"/>
                <w:szCs w:val="22"/>
              </w:rPr>
              <w:t>300</w:t>
            </w:r>
          </w:p>
        </w:tc>
      </w:tr>
    </w:tbl>
    <w:p w14:paraId="40B726D6" w14:textId="01700068" w:rsidR="00546874" w:rsidRPr="00B02CD0" w:rsidRDefault="00546874"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Programavimo (vystymo) paslaugų kiekis yra maksimalus. Perkančioji organizacija neįsipareigoja užsakyti viso nurodyto programavimo (vystymo) paslaugų kiekio.</w:t>
      </w:r>
      <w:r w:rsidR="008F148D" w:rsidRPr="00B02CD0">
        <w:rPr>
          <w:rFonts w:ascii="Trebuchet MS" w:hAnsi="Trebuchet MS"/>
          <w:bCs/>
          <w:sz w:val="22"/>
          <w:szCs w:val="22"/>
        </w:rPr>
        <w:br/>
      </w:r>
    </w:p>
    <w:p w14:paraId="6A2A4B78" w14:textId="77777777" w:rsidR="008F148D" w:rsidRPr="00B02CD0" w:rsidRDefault="00546874" w:rsidP="00804597">
      <w:pPr>
        <w:numPr>
          <w:ilvl w:val="0"/>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SISTEMOS APIBŪDINIMAS</w:t>
      </w:r>
    </w:p>
    <w:p w14:paraId="3843FD5D" w14:textId="77777777" w:rsidR="008F148D" w:rsidRPr="00B02CD0" w:rsidRDefault="008F148D"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Informacinė sistema „</w:t>
      </w:r>
      <w:proofErr w:type="spellStart"/>
      <w:r w:rsidRPr="00B02CD0">
        <w:rPr>
          <w:rFonts w:ascii="Trebuchet MS" w:hAnsi="Trebuchet MS"/>
          <w:bCs/>
          <w:sz w:val="22"/>
          <w:szCs w:val="22"/>
        </w:rPr>
        <w:t>Vikarina</w:t>
      </w:r>
      <w:proofErr w:type="spellEnd"/>
      <w:r w:rsidRPr="00B02CD0">
        <w:rPr>
          <w:rFonts w:ascii="Trebuchet MS" w:hAnsi="Trebuchet MS"/>
          <w:bCs/>
          <w:sz w:val="22"/>
          <w:szCs w:val="22"/>
        </w:rPr>
        <w:t>“ naudojama Perkančiosios organizacijos personalo valdymo, darbo laiko ir darbo užmokesčio apskaitos procesams vykdyti.</w:t>
      </w:r>
    </w:p>
    <w:p w14:paraId="6804432B" w14:textId="77777777" w:rsidR="008F148D" w:rsidRPr="00B02CD0" w:rsidRDefault="008F148D"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Sistemą sudaro šie pagrindiniai Perkančiosios organizacijos naudojami moduliai:</w:t>
      </w:r>
    </w:p>
    <w:p w14:paraId="587F1950" w14:textId="77777777" w:rsidR="008F148D" w:rsidRPr="00B02CD0" w:rsidRDefault="008F148D" w:rsidP="00804597">
      <w:pPr>
        <w:numPr>
          <w:ilvl w:val="2"/>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darbo laiko panaudojimo apskaitos modulis;</w:t>
      </w:r>
    </w:p>
    <w:p w14:paraId="7EC4EB7A" w14:textId="77777777" w:rsidR="008F148D" w:rsidRPr="00B02CD0" w:rsidRDefault="008F148D" w:rsidP="00804597">
      <w:pPr>
        <w:numPr>
          <w:ilvl w:val="2"/>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darbo užmokesčio apskaitos modulis;</w:t>
      </w:r>
    </w:p>
    <w:p w14:paraId="2575F7BE" w14:textId="77777777" w:rsidR="008F148D" w:rsidRPr="00B02CD0" w:rsidRDefault="008F148D" w:rsidP="00804597">
      <w:pPr>
        <w:numPr>
          <w:ilvl w:val="2"/>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žmogiškųjų resursų apskaitos ir valdymo modulis.</w:t>
      </w:r>
    </w:p>
    <w:p w14:paraId="5D7A16FC" w14:textId="77777777" w:rsidR="008F148D" w:rsidRPr="00B02CD0" w:rsidRDefault="008F148D"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Sistema veikia Perkančiosios organizacijos valdomoje infrastruktūroje, Perkančiosios organizacijos duomenų centre, „Windows“ aplinkoje.</w:t>
      </w:r>
    </w:p>
    <w:p w14:paraId="79AFE8CD" w14:textId="6C82EC11" w:rsidR="008F148D" w:rsidRPr="00B02CD0" w:rsidRDefault="008F148D"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Sistema turi programinę sąsają (API), kuri naudojama integracijoms su kitomis Perkančiosios organizacijos informacinėmis sistemomis. Integracijų metu kitos informacinės sistemos inicijuoja kreipinius į Sistemos API ir per ją vykdo duomenų apsikeitimą su Sistema.</w:t>
      </w:r>
      <w:r w:rsidRPr="00B02CD0">
        <w:rPr>
          <w:rFonts w:ascii="Trebuchet MS" w:hAnsi="Trebuchet MS"/>
          <w:bCs/>
          <w:sz w:val="22"/>
          <w:szCs w:val="22"/>
        </w:rPr>
        <w:br/>
      </w:r>
    </w:p>
    <w:p w14:paraId="1D6AC517" w14:textId="77777777" w:rsidR="008F148D" w:rsidRPr="00B02CD0" w:rsidRDefault="008F148D" w:rsidP="00804597">
      <w:pPr>
        <w:numPr>
          <w:ilvl w:val="0"/>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PROGRAMAVIMO (VYSTYMO) PASLAUGOS</w:t>
      </w:r>
    </w:p>
    <w:p w14:paraId="3E8869E3" w14:textId="77777777" w:rsidR="008F148D" w:rsidRPr="00B02CD0" w:rsidRDefault="008F148D"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Programavimo (vystymo) paslaugos apima Perkančiosios organizacijos užsakymu atliekamus Sistemos pakeitimus ir plėtrą, įskaitant:</w:t>
      </w:r>
    </w:p>
    <w:p w14:paraId="39AC0A6B" w14:textId="77777777" w:rsidR="008F148D" w:rsidRPr="00B02CD0" w:rsidRDefault="008F148D" w:rsidP="00804597">
      <w:pPr>
        <w:numPr>
          <w:ilvl w:val="2"/>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naujo Sistemos funkcionalumo kūrimą;</w:t>
      </w:r>
    </w:p>
    <w:p w14:paraId="5D34C35B" w14:textId="77777777" w:rsidR="008F148D" w:rsidRPr="00B02CD0" w:rsidRDefault="008F148D" w:rsidP="00804597">
      <w:pPr>
        <w:numPr>
          <w:ilvl w:val="2"/>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esamo Sistemos funkcionalumo ir verslo logikos keitimą;</w:t>
      </w:r>
    </w:p>
    <w:p w14:paraId="4C555B64" w14:textId="77777777" w:rsidR="008F148D" w:rsidRPr="00B02CD0" w:rsidRDefault="008F148D" w:rsidP="00804597">
      <w:pPr>
        <w:numPr>
          <w:ilvl w:val="2"/>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naudojamų Sistemos modulių funkcionalumo plėtrą;</w:t>
      </w:r>
    </w:p>
    <w:p w14:paraId="5F83C12D" w14:textId="77777777" w:rsidR="008F148D" w:rsidRPr="00B02CD0" w:rsidRDefault="008F148D" w:rsidP="00804597">
      <w:pPr>
        <w:numPr>
          <w:ilvl w:val="2"/>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Sistemos API funkcionalumo kūrimą, keitimą ar plėtrą;</w:t>
      </w:r>
    </w:p>
    <w:p w14:paraId="445878D2" w14:textId="77777777" w:rsidR="008F148D" w:rsidRPr="00B02CD0" w:rsidRDefault="008F148D" w:rsidP="00804597">
      <w:pPr>
        <w:numPr>
          <w:ilvl w:val="2"/>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integracijoms su kitomis informacinėmis sistemomis reikalingų Sistemos pakeitimų atlikimą;</w:t>
      </w:r>
    </w:p>
    <w:p w14:paraId="645C6149" w14:textId="77777777" w:rsidR="008F148D" w:rsidRPr="00B02CD0" w:rsidRDefault="008F148D" w:rsidP="00804597">
      <w:pPr>
        <w:numPr>
          <w:ilvl w:val="2"/>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duomenų struktūrų, duomenų apdorojimo ar ataskaitų funkcionalumo pakeitimus;</w:t>
      </w:r>
    </w:p>
    <w:p w14:paraId="0B61563C" w14:textId="77777777" w:rsidR="008F148D" w:rsidRPr="00B02CD0" w:rsidRDefault="008F148D" w:rsidP="00804597">
      <w:pPr>
        <w:numPr>
          <w:ilvl w:val="2"/>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kitus Perkančiosios organizacijos užsakytus Sistemos programavimo darbus, kurie pagal savo pobūdį nepriskiriami Sistemos priežiūros paslaugoms.</w:t>
      </w:r>
    </w:p>
    <w:p w14:paraId="76E9E048" w14:textId="77777777" w:rsidR="008F148D" w:rsidRPr="00B02CD0" w:rsidRDefault="008F148D" w:rsidP="00804597">
      <w:pPr>
        <w:numPr>
          <w:ilvl w:val="2"/>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Pakeitimai, būtini Sistemai pritaikyti prie pasikeitusių privalomų teisės aktų reikalavimų, nelaikomi programavimo (vystymo) paslaugomis ir atliekami kaip Sistemos priežiūros paslaugų dalis.</w:t>
      </w:r>
    </w:p>
    <w:p w14:paraId="61A284C6" w14:textId="77777777" w:rsidR="00554C72" w:rsidRPr="00B02CD0" w:rsidRDefault="00554C72"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 xml:space="preserve">Perkančiosios organizacijos poreikis programavimo (vystymo) paslaugoms įforminamas raštu, pateikiant Tiekėjui užduotį elektroniniu paštu, kreipinių valdymo sistemoje ar kitu Sutartyje nustatytu būdu. Tiekėjas, gavęs užduotį, ne vėliau kaip per 3 darbo dienas pateikia Perkančiajai organizacijai siūlomo realizavimo sprendimo, darbų apimties, atlikimo termino ir reikalingų darbo valandų įvertinimą. Programavimo (vystymo) darbai pradedami tik Perkančiajai organizacijai raštu suderinus darbų apimtį, realizavimo sprendimą, atlikimo terminą ir darbo </w:t>
      </w:r>
      <w:r w:rsidRPr="00B02CD0">
        <w:rPr>
          <w:rFonts w:ascii="Trebuchet MS" w:hAnsi="Trebuchet MS"/>
          <w:bCs/>
          <w:sz w:val="22"/>
          <w:szCs w:val="22"/>
        </w:rPr>
        <w:lastRenderedPageBreak/>
        <w:t>valandų skaičių. Tiekėjo be išankstinio Perkančiosios organizacijos suderinimo atlikti darbai papildomai neapmokami.</w:t>
      </w:r>
    </w:p>
    <w:p w14:paraId="52BD6952" w14:textId="77777777" w:rsidR="00554C72" w:rsidRPr="00B02CD0" w:rsidRDefault="00554C72"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Perkančiosios organizacijos prašymu Tiekėjas kartu su programavimo (vystymo) darbų įvertinimu pateikia siūlomo techninio sprendimo aprašymą, kurio detalumas turi atitikti užduoties pobūdį ir sudėtingumą. Kai taikoma, aprašyme turi būti nurodyti numatomi Sistemos funkcionalumo, duomenų struktūrų, API, integracinių sąsajų ar kitų Sistemos komponentų pakeitimai.</w:t>
      </w:r>
    </w:p>
    <w:p w14:paraId="236DE79E" w14:textId="77777777" w:rsidR="00554C72" w:rsidRPr="00B02CD0" w:rsidRDefault="00554C72"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Tiekėjas privalo iš anksto raštu suderinti su Perkančiąja organizacija visus programavimo (vystymo) darbų vykdymo metu atsiradusius pakeitimus, dėl kurių keičiasi suderinta darbų apimtis, realizavimo sprendimas, atlikimo terminas ar darbo valandų skaičius. Be išankstinio Perkančiosios organizacijos suderinimo viršytos darbo valandos ar atlikti papildomi darbai papildomai neapmokami.</w:t>
      </w:r>
    </w:p>
    <w:p w14:paraId="428B6074" w14:textId="77777777" w:rsidR="00554C72" w:rsidRPr="00B02CD0" w:rsidRDefault="00554C72"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Atlikęs programavimo (vystymo) darbus, Tiekėjas prieš pateikdamas jų rezultatą Perkančiajai organizacijai privalo atlikti sukurtų ar pakeistų funkcionalumų testavimą. Perkančiajai organizacijai pateikiamas Sistemos atnaujinimo ar diegimo paketas ir, kai taikoma, jo diegimo instrukcija, atliktų pakeitimų aprašymas bei kita informacija, reikalinga pakeitimui saugiai įdiegti ir jo veikimui patikrinti.</w:t>
      </w:r>
    </w:p>
    <w:p w14:paraId="43D20B0A" w14:textId="1B7CAA83" w:rsidR="009D6FF1" w:rsidRDefault="009D6FF1" w:rsidP="00804597">
      <w:pPr>
        <w:numPr>
          <w:ilvl w:val="1"/>
          <w:numId w:val="4"/>
        </w:numPr>
        <w:spacing w:line="276" w:lineRule="auto"/>
        <w:ind w:left="0" w:firstLine="426"/>
        <w:jc w:val="both"/>
        <w:rPr>
          <w:rFonts w:ascii="Trebuchet MS" w:hAnsi="Trebuchet MS"/>
          <w:bCs/>
          <w:sz w:val="22"/>
          <w:szCs w:val="22"/>
        </w:rPr>
      </w:pPr>
      <w:r w:rsidRPr="009D6FF1">
        <w:rPr>
          <w:rFonts w:ascii="Trebuchet MS" w:hAnsi="Trebuchet MS"/>
          <w:bCs/>
          <w:sz w:val="22"/>
          <w:szCs w:val="22"/>
        </w:rPr>
        <w:t>Perkančioji organizacija, gavusi Tiekėjo pateiktą programavimo (vystymo) darbų rezultatą ir su juo susijusią dokumentaciją, per 5 darbo dienas įvertina atliktų darbų atitiktį suderintai užduočiai ir reikalavimams. Nustačiusi neatitikimų ar trūkumų, Perkančioji organizacija pateikia juos Tiekėjui raštu. Tiekėjas dėl jo atliktų darbų atsiradusius neatitikimus ar trūkumus pašalina savo sąskaita per 5 darbo dienas nuo pranešimo gavimo, išskyrus atvejus, kai Perkančioji organizacija raštu suderina kitą terminą, ir pakartotinai pateikia darbų rezultatą vertinti. Jeigu neatitikimas ar trūkumas sukelia Sistemos veikimo sutrikimą, taikomi 5 skyriuje nustatyti sutrikimo pašalinimo terminai. Perkančiosios organizacijos pastabų nepateikimas ar vertinimo termino pasibaigimas savaime nelaikomas darbų rezultato suderinimu ar priėmimu.</w:t>
      </w:r>
    </w:p>
    <w:p w14:paraId="71D1B25D" w14:textId="2E56679F" w:rsidR="00554C72" w:rsidRPr="00B02CD0" w:rsidRDefault="00554C72"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Perkančiajai organizacijai suderinus programavimo (vystymo) darbų rezultatą, Tiekėjo pateiktą Sistemos atnaujinimo ar diegimo paketą į Perkančiosios organizacijos valdomą aplinką diegia Perkančiosios organizacijos įgalioti darbuotojai. Tiekėjas privalo pateikti diegimui reikalingą informaciją ir, esant poreikiui, konsultuoti Perkančiąją organizaciją diegimo metu. Jei diegimo metu nustatomi su Tiekėjo atliktais programavimo (vystymo) darbais susiję trūkumai ar klaidos, Tiekėjas juos pašalina savo sąskaita.</w:t>
      </w:r>
    </w:p>
    <w:p w14:paraId="7C1263C9" w14:textId="77777777" w:rsidR="00554C72" w:rsidRPr="00B02CD0" w:rsidRDefault="00554C72"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Teikiant programavimo (vystymo) paslaugas, nauji ar keičiami sprendimai turi būti suderinami su esama Sistemos architektūra, naudojamais moduliais, duomenų struktūromis ir API bei neturi nepagrįstai riboti ar sutrikdyti esamo Sistemos funkcionalumo, duomenų apsikeitimo ar integracijų su kitomis informacinėmis sistemomis.</w:t>
      </w:r>
    </w:p>
    <w:p w14:paraId="09F01863" w14:textId="77777777" w:rsidR="00554C72" w:rsidRPr="00B02CD0" w:rsidRDefault="00554C72"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Tiekėjas, teikdamas programavimo (vystymo) paslaugas, gali naudoti trečiųjų šalių programinę įrangą, komponentus ar bibliotekas tik teisėtai ir laikydamasis jų licencijų sąlygų. Tokių komponentų naudojimas negali sukelti Perkančiajai organizacijai papildomų finansinių ar kitų Sutartyje nenumatytų įsipareigojimų, nebent Perkančioji organizacija iš anksto raštu su tuo sutinka.</w:t>
      </w:r>
    </w:p>
    <w:p w14:paraId="77BD03DD" w14:textId="4BBD3B1C" w:rsidR="00143D96" w:rsidRPr="00B02CD0" w:rsidRDefault="00143D96"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Teikdamas programavimo (vystymo) paslaugas ir diegdamas ar atnaujindamas su Sistema susijusias bibliotekas, platformas ar kitus Tiekėjo atsakomybei priskirtus programinės įrangos komponentus, Tiekėjas privalo naudoti gamintojo ar kūrėjo palaikomas jų versijas, kurioms teikiami saugumo atnaujinimai, ir užtikrinti Sistemos stabilumą bei suderinamumą su kitais Sistemos komponentais.</w:t>
      </w:r>
    </w:p>
    <w:p w14:paraId="4044C537" w14:textId="67412895" w:rsidR="009A19AB" w:rsidRPr="00B02CD0" w:rsidRDefault="009A19AB"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Tiekėjas, kurdamas ar modifikuodamas Sistemos programinį kodą, API, integracines sąsajas ar kitus Sistemos komponentus, privalo taikyti saugaus programavimo praktikas pagal OWASP principus ar lygiaverčius saugaus programavimo standartus, įskaitant apsaugą nuo dažniausiai pasitaikančių programinės įrangos pažeidžiamumų, ir užtikrinti, kad atliekami pakeitimai nesusilpnintų Sistemoje taikomų autentifikavimo, prieigos kontrolės, duomenų apsaugos ar kitų saugumo priemonių.</w:t>
      </w:r>
    </w:p>
    <w:p w14:paraId="5B09EC34" w14:textId="234CFFBA" w:rsidR="002772EA" w:rsidRPr="00B02CD0" w:rsidRDefault="002772EA" w:rsidP="00804597">
      <w:pPr>
        <w:numPr>
          <w:ilvl w:val="1"/>
          <w:numId w:val="4"/>
        </w:numPr>
        <w:spacing w:line="276" w:lineRule="auto"/>
        <w:ind w:left="0" w:firstLine="426"/>
        <w:jc w:val="both"/>
        <w:rPr>
          <w:rFonts w:ascii="Trebuchet MS" w:hAnsi="Trebuchet MS"/>
          <w:bCs/>
          <w:sz w:val="22"/>
          <w:szCs w:val="22"/>
        </w:rPr>
      </w:pPr>
      <w:r w:rsidRPr="002772EA">
        <w:rPr>
          <w:rFonts w:ascii="Trebuchet MS" w:hAnsi="Trebuchet MS"/>
          <w:bCs/>
          <w:sz w:val="22"/>
          <w:szCs w:val="22"/>
        </w:rPr>
        <w:lastRenderedPageBreak/>
        <w:t>Programavimo (vystymo) paslaugos laikomos suteiktomis, kai Perkančioji organizacija patikrina, kad atlikti pakeitimai atitinka suderintą užduotį, veikia tinkamai ir nesukelia Sistemos veikimo sutrikimų, ir Šalys pasirašo paslaugų perdavimo–priėmimo aktą. Akte nurodoma priimta užduotis ir jai iš anksto suderintas darbo valandų skaičius.</w:t>
      </w:r>
      <w:r>
        <w:rPr>
          <w:rFonts w:ascii="Trebuchet MS" w:hAnsi="Trebuchet MS"/>
          <w:bCs/>
          <w:sz w:val="22"/>
          <w:szCs w:val="22"/>
        </w:rPr>
        <w:br/>
      </w:r>
      <w:r w:rsidRPr="002772EA">
        <w:rPr>
          <w:rFonts w:ascii="Trebuchet MS" w:hAnsi="Trebuchet MS"/>
          <w:bCs/>
          <w:sz w:val="22"/>
          <w:szCs w:val="22"/>
        </w:rPr>
        <w:t>Tiekėjas 12 mėnesių nuo paslaugų perdavimo–priėmimo akto pasirašymo savo sąskaita šalina dėl jo atliktų programavimo (vystymo) darbų atsiradusias klaidas ir trūkumus, apie kuriuos Perkančioji organizacija praneša per šį laikotarpį. Ši pareiga išlieka ir pasibaigus Sutarties galiojimui. Klaidos ir trūkumai šalinami 3.6 punkte nustatytais terminais, o jeigu jie sukelia Sistemos veikimo sutrikimą – 5 skyriuje nustatytais terminais.</w:t>
      </w:r>
      <w:r>
        <w:rPr>
          <w:rFonts w:ascii="Trebuchet MS" w:hAnsi="Trebuchet MS"/>
          <w:bCs/>
          <w:sz w:val="22"/>
          <w:szCs w:val="22"/>
        </w:rPr>
        <w:br/>
      </w:r>
      <w:r w:rsidRPr="002772EA">
        <w:rPr>
          <w:rFonts w:ascii="Trebuchet MS" w:hAnsi="Trebuchet MS"/>
          <w:bCs/>
          <w:sz w:val="22"/>
          <w:szCs w:val="22"/>
        </w:rPr>
        <w:t>Dėl Tiekėjo atliktų darbų atsiradusių klaidų ir trūkumų šalinimas papildomai neapmokamas ir nemažina Sutartyje numatyto maksimalaus programavimo (vystymo) paslaugų valandų kiekio.</w:t>
      </w:r>
    </w:p>
    <w:p w14:paraId="607C606F" w14:textId="70A04960" w:rsidR="002772EA" w:rsidRDefault="002772EA" w:rsidP="00804597">
      <w:pPr>
        <w:numPr>
          <w:ilvl w:val="1"/>
          <w:numId w:val="4"/>
        </w:numPr>
        <w:spacing w:line="276" w:lineRule="auto"/>
        <w:ind w:left="0" w:firstLine="426"/>
        <w:jc w:val="both"/>
        <w:rPr>
          <w:rFonts w:ascii="Trebuchet MS" w:hAnsi="Trebuchet MS"/>
          <w:bCs/>
          <w:sz w:val="22"/>
          <w:szCs w:val="22"/>
        </w:rPr>
      </w:pPr>
      <w:r w:rsidRPr="002772EA">
        <w:rPr>
          <w:rFonts w:ascii="Trebuchet MS" w:hAnsi="Trebuchet MS"/>
          <w:bCs/>
          <w:sz w:val="22"/>
          <w:szCs w:val="22"/>
        </w:rPr>
        <w:t>Už konkrečią programavimo (vystymo) užduotį apmokama ją tinkamai atlikus ir Perkančiajai organizacijai priėmus jos rezultatą. Užduoties kaina apskaičiuojama prieš darbų pradžią raštu suderintą darbo valandų skaičių padauginus iš Sutartyje nustatyto valandinio įkainio. Suderintas darbo valandų skaičius yra fiksuotas konkrečiai užduočiai ir nepriklauso nuo faktiškai Tiekėjo sugaišto laiko. Suderintas darbo valandų skaičius gali būti keičiamas tik pasikeitus užduoties apimčiai ir tokį pakeitimą iš anksto raštu suderinus su Perkančiąja organizacija.</w:t>
      </w:r>
    </w:p>
    <w:p w14:paraId="58209E2E" w14:textId="06A76FE5" w:rsidR="00373AED" w:rsidRPr="00B02CD0" w:rsidRDefault="00373AED"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Tiekėjas privalo užtikrinti, kad Perkančioji organizacija turėtų visas teises, būtinas pagal Sutartį sukurtiems ar pakeistiems Sistemos funkcionalumams naudoti visą Sistemos naudojimo laikotarpį. Už pagal suderintą programavimo (vystymo) užduotį sukurtų ar pakeistų funkcionalumų naudojimą negali būti taikomi papildomi Sutartyje nenumatyti licenciniai ar kiti mokesčiai.</w:t>
      </w:r>
      <w:r w:rsidR="00EC1F95" w:rsidRPr="00B02CD0">
        <w:rPr>
          <w:rFonts w:ascii="Trebuchet MS" w:hAnsi="Trebuchet MS"/>
          <w:bCs/>
          <w:sz w:val="22"/>
          <w:szCs w:val="22"/>
        </w:rPr>
        <w:br/>
      </w:r>
    </w:p>
    <w:p w14:paraId="20AAE4E5" w14:textId="72079B5D" w:rsidR="00373AED" w:rsidRPr="00B02CD0" w:rsidRDefault="00373AED" w:rsidP="00804597">
      <w:pPr>
        <w:numPr>
          <w:ilvl w:val="0"/>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SISTEMOS PRIEŽIŪROS IR PALAIKYMO PASLAUGOS</w:t>
      </w:r>
    </w:p>
    <w:p w14:paraId="3BC6A759" w14:textId="78C9317B" w:rsidR="00373AED" w:rsidRPr="00B02CD0" w:rsidRDefault="00373AED"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Sistemos priežiūros ir palaikymo paslaugos teikiamos visą Sutarties vykdymo laikotarpį ir apima šiame skyriuje nurodytas paslaugas, reikalingas stabiliam, saugiam ir tinkamam Sistemos veikimui užtikrinti.</w:t>
      </w:r>
    </w:p>
    <w:p w14:paraId="0CB954BC" w14:textId="08C42C77" w:rsidR="00373AED" w:rsidRPr="00B02CD0" w:rsidRDefault="00373AED"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Tiekėjas privalo konsultuoti Perkančiosios organizacijos darbuotojus Sistemos veikimo, naudojimo, konfigūravimo ir su Sistema susijusių techninių klausimų sprendimo klausimais, taip pat dalyvauti diagnozuojant Sistemos veikimo, funkcionalumo, API, integracijų ar duomenų apdorojimo sutrikimus ir nustatant jų priežastis. Nustačius, kad sutrikimo priežastis yra Sistema ar Tiekėjo atsakomybei priskirti jos komponentai, Tiekėjas privalo sutrikimą pašalinti kaip Sistemos priežiūros paslaugų dalį. Jei sutrikimo priežastis yra Perkančiosios organizacijos infrastruktūra, operacinė sistema ar kiti Tiekėjo neadministruojami komponentai, Tiekėjas pateikia turimą diagnostinę informaciją ir rekomendacijas, reikalingas sutrikimui pašalinti.</w:t>
      </w:r>
    </w:p>
    <w:p w14:paraId="072E6E39" w14:textId="5A9CC5BE" w:rsidR="00373AED" w:rsidRPr="00B02CD0" w:rsidRDefault="00373AED"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Tiekėjas privalo teikti Sistemos veikimui, klaidų šalinimui, saugumui ir suderinamumui užtikrinti reikalingus Sistemos atnaujinimus ir pataisas. Tiekėjas Perkančiajai organizacijai pateikia atnaujinimo ar pataisos diegimo paketą ir informaciją apie atliekamus pakeitimus, jų paskirtį, galimą poveikį Sistemos veikimui bei, kai reikalinga, diegimo instrukciją. Sistemos atnaujinimus ir pataisas į Perkančiosios organizacijos valdomą aplinką diegia Perkančiosios organizacijos įgalioti darbuotojai.</w:t>
      </w:r>
    </w:p>
    <w:p w14:paraId="21FDD28D" w14:textId="22F4376F" w:rsidR="00A174A4" w:rsidRPr="00B02CD0" w:rsidRDefault="00A174A4"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Tiekėjas privalo stebėti su Sistemos funkcionalumu susijusių privalomų teisės aktų reikalavimų ir jų pakeitimų įsigaliojimą, informuoti Perkančiąją organizaciją apie dėl jų atsirandantį Sistemos pakeitimų poreikį ir kaip Sistemos priežiūros paslaugų dalį atlikti Sistemos pakeitimus, būtinus jos atitikčiai tokiems reikalavimams užtikrinti. Tokie darbai papildomai neapmokami kaip programavimo (vystymo) paslaugos.</w:t>
      </w:r>
    </w:p>
    <w:p w14:paraId="223322A7" w14:textId="7F406D82" w:rsidR="001B6D95" w:rsidRPr="00B02CD0" w:rsidRDefault="001B6D95"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Tiekėjas privalo stebėti jo atsakomybei priskirtų Sistemos programinėje dalyje naudojamų bibliotekų, platformų ir kitų programinės įrangos komponentų gamintojų ar kūrėjų nustatytus palaikymo terminus. Komponentui artėjant prie palaikymo pabaigos, Tiekėjas privalo iš anksto informuoti Perkančiąją organizaciją ir kaip Sistemos priežiūros paslaugų dalį pateikti Sistemos atnaujinimą, pataisą ar kitą sprendimą, kuriuo toks komponentas atnaujinamas arba pakeičiamas palaikomu komponentu.</w:t>
      </w:r>
    </w:p>
    <w:p w14:paraId="10C5F699" w14:textId="3D818FC8" w:rsidR="00A174A4" w:rsidRPr="00B02CD0" w:rsidRDefault="00A174A4"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lastRenderedPageBreak/>
        <w:t>Tiekėjas privalo užtikrinti Sistemos API veikimą ir palaikymą, diagnozuoti bei šalinti su API veikimu susijusius sutrikimus, kiek jie kyla dėl Sistemos ar Tiekėjo atsakomybei priskirtų jos komponentų. Apie planuojamus API pakeitimus, galinčius turėti įtakos su Sistema integruotų informacinių sistemų veikimui, Tiekėjas privalo iš anksto informuoti Perkančiąją organizaciją ir pateikti informaciją apie numatomus pakeitimus.</w:t>
      </w:r>
      <w:r w:rsidR="00685D94" w:rsidRPr="00B02CD0">
        <w:rPr>
          <w:rFonts w:ascii="Trebuchet MS" w:hAnsi="Trebuchet MS"/>
          <w:bCs/>
          <w:sz w:val="22"/>
          <w:szCs w:val="22"/>
        </w:rPr>
        <w:t xml:space="preserve"> Perkančiosios organizacijos prašymu Tiekėjas pateikia aktualią jo prižiūrimų Sistemos API ir integracijų techninę dokumentaciją.</w:t>
      </w:r>
    </w:p>
    <w:p w14:paraId="335DFE6E" w14:textId="03018E5A" w:rsidR="00A174A4" w:rsidRPr="00B02CD0" w:rsidRDefault="00A174A4"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Tiekėjas privalo kaip Sistemos priežiūros paslaugų dalį diagnozuoti ir šalinti Sistemos programinės įrangos klaidas bei veikimo trūkumus, atsiradusius naudojant esamą Sistemos funkcionalumą ar įdiegus Tiekėjo pateiktus Sistemos atnaujinimus ar pataisas. Už tokių klaidų ir trūkumų šalinimą papildomai neapmokama kaip už programavimo (vystymo) paslaugas.</w:t>
      </w:r>
    </w:p>
    <w:p w14:paraId="3F8B5C22" w14:textId="77777777" w:rsidR="00034E0F" w:rsidRPr="00B02CD0" w:rsidRDefault="00A174A4"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Tiekėjas, prieš pateikdamas Perkančiajai organizacijai Sistemos atnaujinimą ar pataisą, privalo ją ištestuoti ir įsitikinti, kad atnaujinimas ar pataisa tinkamai veikia bei nesukelia žinomų Sistemos funkcionalumo sutrikimų.</w:t>
      </w:r>
    </w:p>
    <w:p w14:paraId="4D6BB923" w14:textId="3060A839" w:rsidR="00A174A4" w:rsidRPr="00B02CD0" w:rsidRDefault="0046099F" w:rsidP="00804597">
      <w:pPr>
        <w:numPr>
          <w:ilvl w:val="1"/>
          <w:numId w:val="4"/>
        </w:numPr>
        <w:spacing w:line="276" w:lineRule="auto"/>
        <w:ind w:left="0" w:firstLine="426"/>
        <w:jc w:val="both"/>
        <w:rPr>
          <w:rFonts w:ascii="Trebuchet MS" w:hAnsi="Trebuchet MS"/>
          <w:bCs/>
          <w:sz w:val="22"/>
          <w:szCs w:val="22"/>
        </w:rPr>
      </w:pPr>
      <w:r w:rsidRPr="0046099F">
        <w:t xml:space="preserve"> </w:t>
      </w:r>
      <w:r w:rsidRPr="0046099F">
        <w:rPr>
          <w:rFonts w:ascii="Trebuchet MS" w:hAnsi="Trebuchet MS"/>
          <w:bCs/>
          <w:sz w:val="22"/>
          <w:szCs w:val="22"/>
        </w:rPr>
        <w:t>Priežiūros paslaugoms priskiriami smulkūs esamo Sistemos funkcionalumo pakeitimai, nereikalaujantys naujo funkcionalumo kūrimo, esminių verslo logikos, duomenų struktūrų, API ar integracijų pakeitimų. Jeigu Tiekėjas vertina, kad konkreti užduotis nepriskirtina priežiūros paslaugoms ir turi būti vykdoma kaip papildomai apmokama programavimo (vystymo) paslauga, jis prieš darbų pradžią raštu pateikia Perkančiajai organizacijai tokio priskyrimo pagrindimą, siūlomą darbų apimtį ir darbo valandų skaičių. Papildomai apmokami programavimo (vystymo) darbai gali būti pradėti tik gavus Perkančiosios organizacijos rašytinį patvirtinimą.</w:t>
      </w:r>
      <w:r w:rsidR="00EC1F95" w:rsidRPr="00B02CD0">
        <w:rPr>
          <w:rFonts w:ascii="Trebuchet MS" w:hAnsi="Trebuchet MS"/>
          <w:bCs/>
          <w:sz w:val="22"/>
          <w:szCs w:val="22"/>
        </w:rPr>
        <w:br/>
      </w:r>
    </w:p>
    <w:p w14:paraId="4C07ED33" w14:textId="48FD0243" w:rsidR="00A174A4" w:rsidRPr="00B02CD0" w:rsidRDefault="00A174A4" w:rsidP="00804597">
      <w:pPr>
        <w:numPr>
          <w:ilvl w:val="0"/>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SISTEMOS SUTRIKIMŲ REGISTRAVIMAS IR ŠALINIMAS</w:t>
      </w:r>
    </w:p>
    <w:p w14:paraId="6EBC239F" w14:textId="3D3F3FAC" w:rsidR="00A174A4" w:rsidRPr="00B02CD0" w:rsidRDefault="00A174A4"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Perkančiosios organizacijos nustatyti Sistemos veikimo sutrikimai ir kiti su Sistemos priežiūra susiję kreipiniai Tiekėjui registruojami Tiekėjo nurodytoje kreipinių registravimo sistemoje, elektroniniu paštu arba kitu Sutartyje nustatytu būdu. Kritinio Sistemos veikimo sutrikimo atveju Perkančioji organizacija turi turėti galimybę papildomai informuoti Tiekėją telefonu.</w:t>
      </w:r>
    </w:p>
    <w:p w14:paraId="7BED65C1" w14:textId="46EDA3BA" w:rsidR="00A174A4" w:rsidRPr="00B02CD0" w:rsidRDefault="00A174A4"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Sistemos veikimo sutrikimų prioritetai:</w:t>
      </w:r>
    </w:p>
    <w:p w14:paraId="46409BAD" w14:textId="4E5C7D08" w:rsidR="00A174A4" w:rsidRPr="00B02CD0" w:rsidRDefault="00A174A4" w:rsidP="00804597">
      <w:pPr>
        <w:numPr>
          <w:ilvl w:val="2"/>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I prioritetas – kritinis sutrikimas – Sistema visiškai neveikia arba didžioji dalis naudotojų negali ja naudotis; neveikia esminis darbo užmokesčio, darbo laiko ar žmogiškųjų resursų apskaitos funkcionalumas; yra prarasti, iškraipyti ar neteisėtai pakeisti duomenys arba kyla pagrįsta tokio įvykio grėsmė.</w:t>
      </w:r>
    </w:p>
    <w:p w14:paraId="1976D518" w14:textId="5CA9C092" w:rsidR="00A174A4" w:rsidRPr="00B02CD0" w:rsidRDefault="00A174A4" w:rsidP="00804597">
      <w:pPr>
        <w:numPr>
          <w:ilvl w:val="2"/>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II prioritetas – reikšmingas sutrikimas – Sistema veikia, tačiau yra sutrikęs vieno ar kelių svarbių funkcionalumų arba API veikimas, dėl kurio dalis naudotojų negali tinkamai atlikti darbo funkcijų arba jų darbas yra reikšmingai apsunkintas, tačiau sutrikimas neatitinka I prioriteto kriterijų.</w:t>
      </w:r>
    </w:p>
    <w:p w14:paraId="76DF4853" w14:textId="4B116655" w:rsidR="00A174A4" w:rsidRPr="00B02CD0" w:rsidRDefault="00A174A4" w:rsidP="00804597">
      <w:pPr>
        <w:numPr>
          <w:ilvl w:val="2"/>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III prioritetas – nekritinis sutrikimas – Sistema ir pagrindiniai jos funkcionalumai veikia, tačiau nustatyti pavieniai funkcionalumo, naudotojo sąsajos, API ar kiti veikimo sutrikimai, kurie netrukdo arba nežymiai apsunkina naudotojų darbą.</w:t>
      </w:r>
    </w:p>
    <w:p w14:paraId="214D686D" w14:textId="5BE05F6E" w:rsidR="00A174A4" w:rsidRPr="00B02CD0" w:rsidRDefault="00A174A4"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Sistemos veikimo sutrikimo prioritetą pagal 5.2 punkte nustatytus kriterijus nustato Perkančioji organizacija. Tiekėjas gali pasiūlyti pakeisti nustatytą prioritetą, pateikdamas pagrindimą, tačiau prioritetas keičiamas tik gavus Perkančiosios organizacijos pritarimą. Iki prioriteto pakeitimo taikomas Perkančiosios organizacijos nustatytas prioritetas.</w:t>
      </w:r>
    </w:p>
    <w:p w14:paraId="7CD85E72" w14:textId="4E896D11" w:rsidR="00A174A4" w:rsidRPr="00B02CD0" w:rsidRDefault="00A174A4"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Reagavimo laikas – laikotarpis nuo Sistemos veikimo sutrikimo užregistravimo Tiekėjui iki momento, kai Tiekėjas pradeda sutrikimo diagnostikos ar šalinimo veiksmus. Sutrikimo pašalinimo laikas – laikotarpis nuo Sistemos veikimo sutrikimo užregistravimo Tiekėjui iki momento, kai sutrikimas pašalinamas ir atkuriamas tinkamas Sistemos ar paveikto jos funkcionalumo veikimas.</w:t>
      </w:r>
      <w:r w:rsidR="00333CE5" w:rsidRPr="00B02CD0">
        <w:rPr>
          <w:rFonts w:ascii="Trebuchet MS" w:hAnsi="Trebuchet MS"/>
          <w:bCs/>
          <w:sz w:val="22"/>
          <w:szCs w:val="22"/>
        </w:rPr>
        <w:br/>
      </w:r>
      <w:r w:rsidR="00333CE5" w:rsidRPr="00B02CD0">
        <w:rPr>
          <w:rFonts w:ascii="Trebuchet MS" w:hAnsi="Trebuchet MS"/>
          <w:bCs/>
          <w:sz w:val="22"/>
          <w:szCs w:val="22"/>
        </w:rPr>
        <w:br/>
      </w:r>
      <w:r w:rsidR="00333CE5" w:rsidRPr="00B02CD0">
        <w:rPr>
          <w:rFonts w:ascii="Trebuchet MS" w:hAnsi="Trebuchet MS"/>
          <w:bCs/>
          <w:sz w:val="22"/>
          <w:szCs w:val="22"/>
        </w:rPr>
        <w:br/>
      </w:r>
      <w:r w:rsidR="00333CE5" w:rsidRPr="00B02CD0">
        <w:rPr>
          <w:rFonts w:ascii="Trebuchet MS" w:hAnsi="Trebuchet MS"/>
          <w:bCs/>
          <w:sz w:val="22"/>
          <w:szCs w:val="22"/>
        </w:rPr>
        <w:br/>
      </w:r>
    </w:p>
    <w:p w14:paraId="62B8C071" w14:textId="2768F802" w:rsidR="00EC1F95" w:rsidRPr="00B02CD0" w:rsidRDefault="00EC1F95"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lastRenderedPageBreak/>
        <w:t>Sistemos veikimo sutrikimų reagavimo ir pašalinimo terminai:</w:t>
      </w:r>
    </w:p>
    <w:tbl>
      <w:tblPr>
        <w:tblW w:w="9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2"/>
        <w:gridCol w:w="1703"/>
        <w:gridCol w:w="1665"/>
      </w:tblGrid>
      <w:tr w:rsidR="00EC1F95" w:rsidRPr="00B02CD0" w14:paraId="6DAB0EA3" w14:textId="77777777" w:rsidTr="00EC1F95">
        <w:trPr>
          <w:trHeight w:val="513"/>
          <w:tblHeader/>
          <w:jc w:val="center"/>
        </w:trPr>
        <w:tc>
          <w:tcPr>
            <w:tcW w:w="6009" w:type="dxa"/>
            <w:tcBorders>
              <w:top w:val="single" w:sz="4" w:space="0" w:color="auto"/>
              <w:left w:val="single" w:sz="4" w:space="0" w:color="auto"/>
              <w:bottom w:val="single" w:sz="4" w:space="0" w:color="auto"/>
              <w:right w:val="single" w:sz="4" w:space="0" w:color="auto"/>
            </w:tcBorders>
            <w:vAlign w:val="center"/>
          </w:tcPr>
          <w:p w14:paraId="0BBE4AA3" w14:textId="16A6D4A1" w:rsidR="00EC1F95" w:rsidRPr="00B02CD0" w:rsidRDefault="00EC1F95" w:rsidP="00804597">
            <w:pPr>
              <w:ind w:firstLine="426"/>
              <w:jc w:val="both"/>
              <w:rPr>
                <w:rFonts w:ascii="Trebuchet MS" w:hAnsi="Trebuchet MS"/>
                <w:bCs/>
                <w:sz w:val="22"/>
                <w:szCs w:val="22"/>
              </w:rPr>
            </w:pPr>
            <w:r w:rsidRPr="00B02CD0">
              <w:rPr>
                <w:rFonts w:ascii="Trebuchet MS" w:hAnsi="Trebuchet MS"/>
                <w:bCs/>
                <w:sz w:val="22"/>
                <w:szCs w:val="22"/>
              </w:rPr>
              <w:t>Prioritetas</w:t>
            </w:r>
          </w:p>
        </w:tc>
        <w:tc>
          <w:tcPr>
            <w:tcW w:w="1400" w:type="dxa"/>
            <w:tcBorders>
              <w:top w:val="single" w:sz="4" w:space="0" w:color="auto"/>
              <w:left w:val="single" w:sz="4" w:space="0" w:color="auto"/>
              <w:bottom w:val="single" w:sz="4" w:space="0" w:color="auto"/>
              <w:right w:val="single" w:sz="4" w:space="0" w:color="auto"/>
            </w:tcBorders>
            <w:vAlign w:val="center"/>
          </w:tcPr>
          <w:p w14:paraId="1E421606" w14:textId="1D024387" w:rsidR="00EC1F95" w:rsidRPr="00B02CD0" w:rsidRDefault="00EC1F95" w:rsidP="00804597">
            <w:pPr>
              <w:ind w:firstLine="426"/>
              <w:jc w:val="both"/>
              <w:rPr>
                <w:rFonts w:ascii="Trebuchet MS" w:hAnsi="Trebuchet MS"/>
                <w:bCs/>
                <w:sz w:val="22"/>
                <w:szCs w:val="22"/>
              </w:rPr>
            </w:pPr>
            <w:r w:rsidRPr="00B02CD0">
              <w:rPr>
                <w:rFonts w:ascii="Trebuchet MS" w:hAnsi="Trebuchet MS"/>
                <w:bCs/>
                <w:sz w:val="22"/>
                <w:szCs w:val="22"/>
              </w:rPr>
              <w:t>Reagavimo laikas</w:t>
            </w:r>
          </w:p>
        </w:tc>
        <w:tc>
          <w:tcPr>
            <w:tcW w:w="1671" w:type="dxa"/>
            <w:tcBorders>
              <w:top w:val="single" w:sz="4" w:space="0" w:color="auto"/>
              <w:left w:val="single" w:sz="4" w:space="0" w:color="auto"/>
              <w:bottom w:val="single" w:sz="4" w:space="0" w:color="auto"/>
              <w:right w:val="single" w:sz="4" w:space="0" w:color="auto"/>
            </w:tcBorders>
            <w:vAlign w:val="center"/>
          </w:tcPr>
          <w:p w14:paraId="6853B09B" w14:textId="3FC53F19" w:rsidR="00EC1F95" w:rsidRPr="00B02CD0" w:rsidRDefault="00EC1F95" w:rsidP="00804597">
            <w:pPr>
              <w:ind w:firstLine="426"/>
              <w:jc w:val="both"/>
              <w:rPr>
                <w:rFonts w:ascii="Trebuchet MS" w:hAnsi="Trebuchet MS"/>
                <w:bCs/>
                <w:sz w:val="22"/>
                <w:szCs w:val="22"/>
              </w:rPr>
            </w:pPr>
            <w:r w:rsidRPr="00B02CD0">
              <w:rPr>
                <w:rFonts w:ascii="Trebuchet MS" w:hAnsi="Trebuchet MS"/>
                <w:bCs/>
                <w:sz w:val="22"/>
                <w:szCs w:val="22"/>
              </w:rPr>
              <w:t>Sutrikimo pašalinimo laikas</w:t>
            </w:r>
          </w:p>
        </w:tc>
      </w:tr>
      <w:tr w:rsidR="00EC1F95" w:rsidRPr="00B02CD0" w14:paraId="1213EB7F" w14:textId="77777777" w:rsidTr="00EC1F95">
        <w:trPr>
          <w:trHeight w:val="513"/>
          <w:tblHeader/>
          <w:jc w:val="center"/>
        </w:trPr>
        <w:tc>
          <w:tcPr>
            <w:tcW w:w="6009" w:type="dxa"/>
            <w:tcBorders>
              <w:top w:val="single" w:sz="4" w:space="0" w:color="auto"/>
              <w:left w:val="single" w:sz="4" w:space="0" w:color="auto"/>
              <w:bottom w:val="single" w:sz="4" w:space="0" w:color="auto"/>
              <w:right w:val="single" w:sz="4" w:space="0" w:color="auto"/>
            </w:tcBorders>
            <w:vAlign w:val="center"/>
          </w:tcPr>
          <w:p w14:paraId="5806C58D" w14:textId="26A2486A" w:rsidR="00EC1F95" w:rsidRPr="00B02CD0" w:rsidRDefault="00EC1F95" w:rsidP="00804597">
            <w:pPr>
              <w:ind w:firstLine="426"/>
              <w:jc w:val="both"/>
              <w:rPr>
                <w:rFonts w:ascii="Trebuchet MS" w:hAnsi="Trebuchet MS"/>
                <w:bCs/>
                <w:sz w:val="22"/>
                <w:szCs w:val="22"/>
              </w:rPr>
            </w:pPr>
            <w:r w:rsidRPr="00B02CD0">
              <w:rPr>
                <w:rFonts w:ascii="Trebuchet MS" w:hAnsi="Trebuchet MS"/>
                <w:bCs/>
                <w:sz w:val="22"/>
                <w:szCs w:val="22"/>
              </w:rPr>
              <w:t>I – kritinis</w:t>
            </w:r>
          </w:p>
        </w:tc>
        <w:tc>
          <w:tcPr>
            <w:tcW w:w="1400" w:type="dxa"/>
            <w:tcBorders>
              <w:top w:val="single" w:sz="4" w:space="0" w:color="auto"/>
              <w:left w:val="single" w:sz="4" w:space="0" w:color="auto"/>
              <w:bottom w:val="single" w:sz="4" w:space="0" w:color="auto"/>
              <w:right w:val="single" w:sz="4" w:space="0" w:color="auto"/>
            </w:tcBorders>
            <w:vAlign w:val="center"/>
          </w:tcPr>
          <w:p w14:paraId="16D59C79" w14:textId="2AC0B1AE" w:rsidR="00EC1F95" w:rsidRPr="00B02CD0" w:rsidRDefault="00EC1F95" w:rsidP="00804597">
            <w:pPr>
              <w:ind w:firstLine="426"/>
              <w:jc w:val="both"/>
              <w:rPr>
                <w:rFonts w:ascii="Trebuchet MS" w:hAnsi="Trebuchet MS"/>
                <w:bCs/>
                <w:sz w:val="22"/>
                <w:szCs w:val="22"/>
              </w:rPr>
            </w:pPr>
            <w:r w:rsidRPr="00B02CD0">
              <w:rPr>
                <w:rFonts w:ascii="Trebuchet MS" w:hAnsi="Trebuchet MS"/>
                <w:bCs/>
                <w:sz w:val="22"/>
                <w:szCs w:val="22"/>
              </w:rPr>
              <w:t>per 1 darbo valandą</w:t>
            </w:r>
          </w:p>
        </w:tc>
        <w:tc>
          <w:tcPr>
            <w:tcW w:w="1671" w:type="dxa"/>
            <w:tcBorders>
              <w:top w:val="single" w:sz="4" w:space="0" w:color="auto"/>
              <w:left w:val="single" w:sz="4" w:space="0" w:color="auto"/>
              <w:bottom w:val="single" w:sz="4" w:space="0" w:color="auto"/>
              <w:right w:val="single" w:sz="4" w:space="0" w:color="auto"/>
            </w:tcBorders>
            <w:vAlign w:val="center"/>
          </w:tcPr>
          <w:p w14:paraId="1BE0972A" w14:textId="1C07C7A7" w:rsidR="00EC1F95" w:rsidRPr="00B02CD0" w:rsidRDefault="00EC1F95" w:rsidP="00804597">
            <w:pPr>
              <w:ind w:firstLine="426"/>
              <w:jc w:val="both"/>
              <w:rPr>
                <w:rFonts w:ascii="Trebuchet MS" w:hAnsi="Trebuchet MS"/>
                <w:bCs/>
                <w:sz w:val="22"/>
                <w:szCs w:val="22"/>
              </w:rPr>
            </w:pPr>
            <w:r w:rsidRPr="00B02CD0">
              <w:rPr>
                <w:rFonts w:ascii="Trebuchet MS" w:hAnsi="Trebuchet MS"/>
                <w:bCs/>
                <w:sz w:val="22"/>
                <w:szCs w:val="22"/>
              </w:rPr>
              <w:t>per 4 darbo valandas</w:t>
            </w:r>
          </w:p>
        </w:tc>
      </w:tr>
      <w:tr w:rsidR="00EC1F95" w:rsidRPr="00B02CD0" w14:paraId="6E1688E0" w14:textId="77777777" w:rsidTr="00EC1F95">
        <w:trPr>
          <w:trHeight w:val="513"/>
          <w:tblHeader/>
          <w:jc w:val="center"/>
        </w:trPr>
        <w:tc>
          <w:tcPr>
            <w:tcW w:w="6009" w:type="dxa"/>
            <w:tcBorders>
              <w:top w:val="single" w:sz="4" w:space="0" w:color="auto"/>
              <w:left w:val="single" w:sz="4" w:space="0" w:color="auto"/>
              <w:bottom w:val="single" w:sz="4" w:space="0" w:color="auto"/>
              <w:right w:val="single" w:sz="4" w:space="0" w:color="auto"/>
            </w:tcBorders>
            <w:vAlign w:val="center"/>
          </w:tcPr>
          <w:p w14:paraId="659E5592" w14:textId="71FF0BA7" w:rsidR="00EC1F95" w:rsidRPr="00B02CD0" w:rsidRDefault="00EC1F95" w:rsidP="00804597">
            <w:pPr>
              <w:ind w:firstLine="426"/>
              <w:jc w:val="both"/>
              <w:rPr>
                <w:rFonts w:ascii="Trebuchet MS" w:hAnsi="Trebuchet MS"/>
                <w:bCs/>
                <w:sz w:val="22"/>
                <w:szCs w:val="22"/>
              </w:rPr>
            </w:pPr>
            <w:r w:rsidRPr="00B02CD0">
              <w:rPr>
                <w:rFonts w:ascii="Trebuchet MS" w:hAnsi="Trebuchet MS"/>
                <w:bCs/>
                <w:sz w:val="22"/>
                <w:szCs w:val="22"/>
              </w:rPr>
              <w:t>II – reikšmingas</w:t>
            </w:r>
          </w:p>
        </w:tc>
        <w:tc>
          <w:tcPr>
            <w:tcW w:w="1400" w:type="dxa"/>
            <w:tcBorders>
              <w:top w:val="single" w:sz="4" w:space="0" w:color="auto"/>
              <w:left w:val="single" w:sz="4" w:space="0" w:color="auto"/>
              <w:bottom w:val="single" w:sz="4" w:space="0" w:color="auto"/>
              <w:right w:val="single" w:sz="4" w:space="0" w:color="auto"/>
            </w:tcBorders>
            <w:vAlign w:val="center"/>
          </w:tcPr>
          <w:p w14:paraId="06459C55" w14:textId="34E795BA" w:rsidR="00EC1F95" w:rsidRPr="00B02CD0" w:rsidRDefault="00EC1F95" w:rsidP="00804597">
            <w:pPr>
              <w:ind w:firstLine="426"/>
              <w:jc w:val="both"/>
              <w:rPr>
                <w:rFonts w:ascii="Trebuchet MS" w:hAnsi="Trebuchet MS"/>
                <w:bCs/>
                <w:sz w:val="22"/>
                <w:szCs w:val="22"/>
              </w:rPr>
            </w:pPr>
            <w:r w:rsidRPr="00B02CD0">
              <w:rPr>
                <w:rFonts w:ascii="Trebuchet MS" w:hAnsi="Trebuchet MS"/>
                <w:bCs/>
                <w:sz w:val="22"/>
                <w:szCs w:val="22"/>
              </w:rPr>
              <w:t>per 4 darbo valandas</w:t>
            </w:r>
          </w:p>
        </w:tc>
        <w:tc>
          <w:tcPr>
            <w:tcW w:w="1671" w:type="dxa"/>
            <w:tcBorders>
              <w:top w:val="single" w:sz="4" w:space="0" w:color="auto"/>
              <w:left w:val="single" w:sz="4" w:space="0" w:color="auto"/>
              <w:bottom w:val="single" w:sz="4" w:space="0" w:color="auto"/>
              <w:right w:val="single" w:sz="4" w:space="0" w:color="auto"/>
            </w:tcBorders>
            <w:vAlign w:val="center"/>
          </w:tcPr>
          <w:p w14:paraId="378B17A3" w14:textId="486BE203" w:rsidR="00EC1F95" w:rsidRPr="00B02CD0" w:rsidRDefault="00EC1F95" w:rsidP="00804597">
            <w:pPr>
              <w:ind w:firstLine="426"/>
              <w:jc w:val="both"/>
              <w:rPr>
                <w:rFonts w:ascii="Trebuchet MS" w:hAnsi="Trebuchet MS"/>
                <w:bCs/>
                <w:sz w:val="22"/>
                <w:szCs w:val="22"/>
              </w:rPr>
            </w:pPr>
            <w:r w:rsidRPr="00B02CD0">
              <w:rPr>
                <w:rFonts w:ascii="Trebuchet MS" w:hAnsi="Trebuchet MS"/>
                <w:bCs/>
                <w:sz w:val="22"/>
                <w:szCs w:val="22"/>
              </w:rPr>
              <w:t>per 2 darbo dienas</w:t>
            </w:r>
          </w:p>
        </w:tc>
      </w:tr>
      <w:tr w:rsidR="00EC1F95" w:rsidRPr="00B02CD0" w14:paraId="38FAF470" w14:textId="77777777" w:rsidTr="00EC1F95">
        <w:trPr>
          <w:trHeight w:val="513"/>
          <w:tblHeader/>
          <w:jc w:val="center"/>
        </w:trPr>
        <w:tc>
          <w:tcPr>
            <w:tcW w:w="6009" w:type="dxa"/>
            <w:tcBorders>
              <w:top w:val="single" w:sz="4" w:space="0" w:color="auto"/>
              <w:left w:val="single" w:sz="4" w:space="0" w:color="auto"/>
              <w:bottom w:val="single" w:sz="4" w:space="0" w:color="auto"/>
              <w:right w:val="single" w:sz="4" w:space="0" w:color="auto"/>
            </w:tcBorders>
            <w:vAlign w:val="center"/>
          </w:tcPr>
          <w:p w14:paraId="0417D9AC" w14:textId="23A9F60B" w:rsidR="00EC1F95" w:rsidRPr="00B02CD0" w:rsidRDefault="00EC1F95" w:rsidP="00804597">
            <w:pPr>
              <w:ind w:firstLine="426"/>
              <w:jc w:val="both"/>
              <w:rPr>
                <w:rFonts w:ascii="Trebuchet MS" w:hAnsi="Trebuchet MS"/>
                <w:bCs/>
                <w:sz w:val="22"/>
                <w:szCs w:val="22"/>
              </w:rPr>
            </w:pPr>
            <w:r w:rsidRPr="00B02CD0">
              <w:rPr>
                <w:rFonts w:ascii="Trebuchet MS" w:hAnsi="Trebuchet MS"/>
                <w:bCs/>
                <w:sz w:val="22"/>
                <w:szCs w:val="22"/>
              </w:rPr>
              <w:t>III – nekritinis</w:t>
            </w:r>
          </w:p>
        </w:tc>
        <w:tc>
          <w:tcPr>
            <w:tcW w:w="1400" w:type="dxa"/>
            <w:tcBorders>
              <w:top w:val="single" w:sz="4" w:space="0" w:color="auto"/>
              <w:left w:val="single" w:sz="4" w:space="0" w:color="auto"/>
              <w:bottom w:val="single" w:sz="4" w:space="0" w:color="auto"/>
              <w:right w:val="single" w:sz="4" w:space="0" w:color="auto"/>
            </w:tcBorders>
            <w:vAlign w:val="center"/>
          </w:tcPr>
          <w:p w14:paraId="2206607F" w14:textId="0C327130" w:rsidR="00EC1F95" w:rsidRPr="00B02CD0" w:rsidRDefault="00EC1F95" w:rsidP="00804597">
            <w:pPr>
              <w:ind w:firstLine="426"/>
              <w:jc w:val="both"/>
              <w:rPr>
                <w:rFonts w:ascii="Trebuchet MS" w:hAnsi="Trebuchet MS"/>
                <w:bCs/>
                <w:sz w:val="22"/>
                <w:szCs w:val="22"/>
              </w:rPr>
            </w:pPr>
            <w:r w:rsidRPr="00B02CD0">
              <w:rPr>
                <w:rFonts w:ascii="Trebuchet MS" w:hAnsi="Trebuchet MS"/>
                <w:bCs/>
                <w:sz w:val="22"/>
                <w:szCs w:val="22"/>
              </w:rPr>
              <w:t>per 1 darbo dieną</w:t>
            </w:r>
          </w:p>
        </w:tc>
        <w:tc>
          <w:tcPr>
            <w:tcW w:w="1671" w:type="dxa"/>
            <w:tcBorders>
              <w:top w:val="single" w:sz="4" w:space="0" w:color="auto"/>
              <w:left w:val="single" w:sz="4" w:space="0" w:color="auto"/>
              <w:bottom w:val="single" w:sz="4" w:space="0" w:color="auto"/>
              <w:right w:val="single" w:sz="4" w:space="0" w:color="auto"/>
            </w:tcBorders>
            <w:vAlign w:val="center"/>
          </w:tcPr>
          <w:p w14:paraId="69B0A6C6" w14:textId="4B43A449" w:rsidR="00EC1F95" w:rsidRPr="00B02CD0" w:rsidRDefault="00EC1F95" w:rsidP="00804597">
            <w:pPr>
              <w:ind w:firstLine="426"/>
              <w:jc w:val="both"/>
              <w:rPr>
                <w:rFonts w:ascii="Trebuchet MS" w:hAnsi="Trebuchet MS"/>
                <w:bCs/>
                <w:sz w:val="22"/>
                <w:szCs w:val="22"/>
              </w:rPr>
            </w:pPr>
            <w:r w:rsidRPr="00B02CD0">
              <w:rPr>
                <w:rFonts w:ascii="Trebuchet MS" w:hAnsi="Trebuchet MS"/>
                <w:bCs/>
                <w:sz w:val="22"/>
                <w:szCs w:val="22"/>
              </w:rPr>
              <w:t>per 4 darbo dienas</w:t>
            </w:r>
          </w:p>
        </w:tc>
      </w:tr>
    </w:tbl>
    <w:p w14:paraId="0204EF96" w14:textId="092A0769" w:rsidR="00EC1F95" w:rsidRPr="00B02CD0" w:rsidRDefault="00EC1F95" w:rsidP="00804597">
      <w:pPr>
        <w:spacing w:line="276" w:lineRule="auto"/>
        <w:ind w:firstLine="426"/>
        <w:jc w:val="both"/>
        <w:rPr>
          <w:rFonts w:ascii="Trebuchet MS" w:hAnsi="Trebuchet MS"/>
          <w:bCs/>
          <w:sz w:val="22"/>
          <w:szCs w:val="22"/>
        </w:rPr>
      </w:pPr>
    </w:p>
    <w:p w14:paraId="0EA2C134" w14:textId="22574BC7" w:rsidR="0046099F" w:rsidRDefault="0046099F" w:rsidP="00804597">
      <w:pPr>
        <w:numPr>
          <w:ilvl w:val="1"/>
          <w:numId w:val="4"/>
        </w:numPr>
        <w:spacing w:line="276" w:lineRule="auto"/>
        <w:ind w:left="0" w:firstLine="426"/>
        <w:jc w:val="both"/>
        <w:rPr>
          <w:rFonts w:ascii="Trebuchet MS" w:hAnsi="Trebuchet MS"/>
          <w:bCs/>
          <w:sz w:val="22"/>
          <w:szCs w:val="22"/>
        </w:rPr>
      </w:pPr>
      <w:r w:rsidRPr="0046099F">
        <w:rPr>
          <w:rFonts w:ascii="Trebuchet MS" w:hAnsi="Trebuchet MS"/>
          <w:bCs/>
          <w:sz w:val="22"/>
          <w:szCs w:val="22"/>
        </w:rPr>
        <w:t>Šio skyriaus lentelėje nustatyti reagavimo ir sutrikimų pašalinimo terminai skaičiuojami darbo dienomis nuo 8.00 iki 17.00 val. Kreipinį užregistravus ne šiuo laiku, termino skaičiavimas pradedamas artimiausią darbo dieną nuo 8.00 val. Ši taisyklė netaikoma 7 skyriuje nustatytiems kibernetinio ir informacijos saugumo terminams: valandomis nustatyti terminai skaičiuojami nepertraukiamai, o kalendorinėmis dienomis nustatyti terminai – kalendorinėmis dienomis.</w:t>
      </w:r>
    </w:p>
    <w:p w14:paraId="2578112C" w14:textId="4977A932" w:rsidR="00EC1F95" w:rsidRPr="00B02CD0" w:rsidRDefault="00EC1F95"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Tiekėjas, nustatęs, kad Sistemos veikimo sutrikimo nepavyks pašalinti per 5.5 punkte nustatytą terminą, privalo nedelsdamas apie tai informuoti Perkančiąją organizaciją, nurodyti sutrikimo priežastį, atliktus ir planuojamus šalinimo veiksmus, numatomą sutrikimo pašalinimo laiką ir, jei įmanoma, pasiūlyti laikiną sprendimą, leidžiantį sumažinti sutrikimo poveikį. Toks informavimas neatleidžia Tiekėjo nuo pareigos laikytis nustatytų sutrikimo pašalinimo terminų.</w:t>
      </w:r>
    </w:p>
    <w:p w14:paraId="76E03CF8" w14:textId="77777777" w:rsidR="00EC1F95" w:rsidRPr="00B02CD0" w:rsidRDefault="00EC1F95"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Sutrikimo pašalinimo termino skaičiavimas gali būti stabdomas tik tuo atveju, kai Tiekėjas objektyviai negali tęsti sutrikimo diagnostikos ar šalinimo veiksmų dėl to, kad būtina gauti Perkančiosios organizacijos informaciją, prieigą ar atlikti jos atsakomybei priskirtus veiksmus. Tiekėjas apie tokį poreikį privalo nedelsdamas informuoti Perkančiąją organizaciją raštu, aiškiai nurodydamas, kokios informacijos, prieigos ar veiksmų reikia. Termino skaičiavimas atnaujinamas iš karto, kai pašalinama termino stabdymo priežastis.</w:t>
      </w:r>
    </w:p>
    <w:p w14:paraId="571131FE" w14:textId="77777777" w:rsidR="00EC1F95" w:rsidRPr="00B02CD0" w:rsidRDefault="00EC1F95"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Tiekėjas, teikdamas Sistemos priežiūros paslaugas ir nustatęs Sistemos veikimo sutrikimą ar aplinkybes, galinčias reikšmingai paveikti Sistemos veikimą, privalo nedelsdamas apie tai informuoti Perkančiąją organizaciją ir užregistruoti sutrikimą 5.1 punkte nustatytu būdu.</w:t>
      </w:r>
    </w:p>
    <w:p w14:paraId="6FCFB336" w14:textId="650E4443" w:rsidR="00EC1F95" w:rsidRPr="00B02CD0" w:rsidRDefault="00EC1F95"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Pašalinęs Sistemos veikimo sutrikimą, Tiekėjas privalo informuoti Perkančiąją organizaciją apie sutrikimo pašalinimą, nurodyti nustatytą sutrikimo priežastį ir atliktus šalinimo veiksmus. Jei buvo pritaikytas laikinas sprendimas, Tiekėjas taip pat nurodo planuojamus veiksmus ir terminą galutiniam sutrikimo pašalinimui.</w:t>
      </w:r>
      <w:r w:rsidR="00B203C5" w:rsidRPr="00B02CD0">
        <w:rPr>
          <w:rFonts w:ascii="Trebuchet MS" w:hAnsi="Trebuchet MS"/>
          <w:bCs/>
          <w:sz w:val="22"/>
          <w:szCs w:val="22"/>
        </w:rPr>
        <w:br/>
      </w:r>
    </w:p>
    <w:p w14:paraId="0EEE3FB2" w14:textId="77777777" w:rsidR="00B203C5" w:rsidRPr="00B02CD0" w:rsidRDefault="00B203C5" w:rsidP="00804597">
      <w:pPr>
        <w:numPr>
          <w:ilvl w:val="0"/>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ATNAUJINIMŲ IR POKYČIŲ VALDYMAS</w:t>
      </w:r>
    </w:p>
    <w:p w14:paraId="798A2F8F" w14:textId="77777777" w:rsidR="00B203C5" w:rsidRPr="00B02CD0" w:rsidRDefault="00B203C5"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Tiekėjas apie planuojamą Sistemos atnaujinimą ar pataisą, galinčią turėti įtakos Sistemos veikimui, funkcionalumui, API ar integracijoms, privalo iš anksto informuoti Perkančiąją organizaciją ir pateikti informaciją apie numatomus pakeitimus, jų paskirtį, galimą poveikį Sistemos veikimui, diegimui būtinas sąlygas bei, kai taikoma, rekomenduojamą diegimo laiką ar eiliškumą.</w:t>
      </w:r>
    </w:p>
    <w:p w14:paraId="1B4EB8A4" w14:textId="77777777" w:rsidR="00B203C5" w:rsidRPr="00B02CD0" w:rsidRDefault="00B203C5"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Tiekėjas, pateikdamas Sistemos atnaujinimą ar pataisą, kuri gali turėti reikšmingos įtakos Sistemos veikimui, privalo nurodyti veiksmus, reikalingus nesėkmingo diegimo atveju atkurti iki pakeitimo buvusią Sistemos būseną, arba informuoti Perkančiąją organizaciją, jeigu toks grįžimas techniškai nėra galimas.</w:t>
      </w:r>
    </w:p>
    <w:p w14:paraId="5EC8E5E4" w14:textId="754FFEDF" w:rsidR="00B203C5" w:rsidRPr="00B02CD0" w:rsidRDefault="00B203C5"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Tiekėjas, pateikdamas Sistemos atnaujinimą ar pataisą, privalo pateikti visą informaciją, reikalingą tinkamam ir sėkmingam jos įdiegimui. Jei prieš diegimą, jo metu ar po jo būtina atlikti papildomus veiksmus, pakeisti konfigūraciją, sustabdyti ar paleisti Sistemos komponentus ar atlikti kitus veiksmus, Tiekėjas privalo juos aiškiai nurodyti.</w:t>
      </w:r>
      <w:r w:rsidR="00D01B02" w:rsidRPr="00B02CD0">
        <w:rPr>
          <w:rFonts w:ascii="Trebuchet MS" w:hAnsi="Trebuchet MS"/>
          <w:bCs/>
          <w:sz w:val="22"/>
          <w:szCs w:val="22"/>
        </w:rPr>
        <w:t xml:space="preserve"> Tiekėjas turi pateikti priemones ar informaciją, leidžiančią Perkančiajai organizacijai prieš diegimą patikrinti pateikto Sistemos atnaujinimo ar pataisos paketo vientisumą.</w:t>
      </w:r>
    </w:p>
    <w:p w14:paraId="4B300A26" w14:textId="77777777" w:rsidR="00707556" w:rsidRPr="00B02CD0" w:rsidRDefault="00B203C5"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lastRenderedPageBreak/>
        <w:t>Sprendimą dėl Tiekėjo pateikto Sistemos atnaujinimo ar pataisos diegimo ir jo atlikimo laiko priima Perkančioji organizacija. Jei atnaujinimą ar pataisą būtina įdiegti per tam tikrą terminą dėl saugumo, teisės aktų reikalavimų ar kitų reikšmingų priežasčių, Tiekėjas privalo apie tai aiškiai informuoti Perkančiąją organizaciją ir nurodyti rekomenduojamą įdiegimo terminą.</w:t>
      </w:r>
    </w:p>
    <w:p w14:paraId="653691DA" w14:textId="186BA108" w:rsidR="00B203C5" w:rsidRPr="00B02CD0" w:rsidRDefault="00707556"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Jeigu dėl objektyvių techninių priežasčių prieš pateikiant Sistemos pakeitimą, atnaujinimą ar pataisą nėra galimybės atlikti viso reikalingo testavimo, Tiekėjas privalo apie tai iš anksto raštu informuoti Perkančiąją organizaciją, nurodyti neatlikto testavimo apimtį, įvertinti su tuo susijusią riziką ir pateikti rekomenduojamas rizikos mažinimo priemones.</w:t>
      </w:r>
      <w:r w:rsidR="00151F1A" w:rsidRPr="00B02CD0">
        <w:rPr>
          <w:rFonts w:ascii="Trebuchet MS" w:hAnsi="Trebuchet MS"/>
          <w:bCs/>
          <w:sz w:val="22"/>
          <w:szCs w:val="22"/>
        </w:rPr>
        <w:br/>
      </w:r>
    </w:p>
    <w:p w14:paraId="4C99F4D6" w14:textId="77777777" w:rsidR="00B203C5" w:rsidRPr="00B02CD0" w:rsidRDefault="00B203C5" w:rsidP="00804597">
      <w:pPr>
        <w:numPr>
          <w:ilvl w:val="0"/>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KIBERNETINIO IR INFORMACIJOS SAUGUMO REIKALAVIMAI</w:t>
      </w:r>
    </w:p>
    <w:p w14:paraId="164E0AB0" w14:textId="77777777" w:rsidR="00B203C5" w:rsidRPr="00B02CD0" w:rsidRDefault="00B203C5"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Sutartį vykdantis Tiekėjas priskiriamas kritinių tiekėjų kategorijai pagal Perkančiosios organizacijos Tiekimo grandinės saugumo valdymo tvarką.</w:t>
      </w:r>
    </w:p>
    <w:p w14:paraId="792D1BEF" w14:textId="77777777" w:rsidR="00B203C5" w:rsidRPr="00B02CD0" w:rsidRDefault="00B203C5"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Preliminariai nustačius pirkimo laimėtoją ir prieš sudarant Sutartį, Tiekėjas privalo užpildyti Perkančiosios organizacijos pateiktą Tiekėjo saugumo klausimyną ir, Perkančiajai organizacijai paprašius, pateikti klausimyne nurodytą informaciją ar kitus įrodymus, reikalingus Tiekėjo saugumo vertinimui atlikti.</w:t>
      </w:r>
    </w:p>
    <w:p w14:paraId="50A5F4F7" w14:textId="77777777" w:rsidR="00151F1A" w:rsidRPr="00B02CD0" w:rsidRDefault="00B203C5"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Tiekėjas, teikdamas Sistemos priežiūros ir programavimo (vystymo) paslaugas, privalo laikytis Lietuvos Respublikos kibernetinio saugumo įstatymo, kitų jam taikomų kibernetinį saugumą ir asmens duomenų apsaugą reglamentuojančių teisės aktų bei Perkančiosios organizacijos tiekėjams taikomų informacijos ir kibernetinio saugumo reikalavimų, kiek jie susiję su Sutarties vykdymu.</w:t>
      </w:r>
    </w:p>
    <w:p w14:paraId="3029A241" w14:textId="77777777" w:rsidR="00585E35" w:rsidRPr="00B02CD0" w:rsidRDefault="00585E35"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Tiekėjas privalo užtikrinti, kad Sutartį vykdantys jo darbuotojai ir kiti pasitelkti asmenys turėtų jų atliekamoms funkcijoms reikalingą kvalifikaciją ir kompetenciją bei būtų įsipareigoję saugoti konfidencialią informaciją ir laikytis jiems taikomų informacijos bei kibernetinio saugumo reikalavimų.</w:t>
      </w:r>
    </w:p>
    <w:p w14:paraId="00188116" w14:textId="77777777" w:rsidR="00754B61" w:rsidRPr="00B02CD0" w:rsidRDefault="00754B61" w:rsidP="00804597">
      <w:pPr>
        <w:pStyle w:val="ListParagraph0"/>
        <w:numPr>
          <w:ilvl w:val="1"/>
          <w:numId w:val="4"/>
        </w:numPr>
        <w:ind w:left="0" w:firstLine="426"/>
        <w:jc w:val="both"/>
        <w:rPr>
          <w:rFonts w:ascii="Trebuchet MS" w:hAnsi="Trebuchet MS"/>
          <w:bCs/>
          <w:sz w:val="22"/>
          <w:szCs w:val="22"/>
        </w:rPr>
      </w:pPr>
      <w:r w:rsidRPr="00B02CD0">
        <w:rPr>
          <w:rFonts w:ascii="Trebuchet MS" w:hAnsi="Trebuchet MS"/>
          <w:bCs/>
          <w:sz w:val="22"/>
          <w:szCs w:val="22"/>
        </w:rPr>
        <w:t>Tiekėjas privalo užtikrinti, kad jo pasitelktiems subtiekėjams ir kitiems Sutarties vykdymui pasitelktiems asmenims, kiek tai susiję su jų atliekamomis funkcijomis ir prieiga prie Sistemos ar Perkančiosios organizacijos duomenų, būtų taikomi ne mažesni saugumo ir konfidencialumo reikalavimai nei Tiekėjui. Tiekėjas iš anksto informuoja Perkančiąją organizaciją apie esminius paslaugų teikimo, infrastruktūros ar subtiekėjų pokyčius, galinčius turėti reikšmingos įtakos Sistemos ar duomenų saugumui.</w:t>
      </w:r>
    </w:p>
    <w:p w14:paraId="3C949A66" w14:textId="3A2C5A36" w:rsidR="00C8311E" w:rsidRPr="00B02CD0" w:rsidRDefault="00C8311E" w:rsidP="00804597">
      <w:pPr>
        <w:pStyle w:val="ListParagraph0"/>
        <w:numPr>
          <w:ilvl w:val="1"/>
          <w:numId w:val="4"/>
        </w:numPr>
        <w:ind w:left="0" w:firstLine="426"/>
        <w:jc w:val="both"/>
        <w:rPr>
          <w:rFonts w:ascii="Trebuchet MS" w:hAnsi="Trebuchet MS"/>
          <w:bCs/>
          <w:sz w:val="22"/>
          <w:szCs w:val="22"/>
        </w:rPr>
      </w:pPr>
      <w:r w:rsidRPr="00B02CD0">
        <w:rPr>
          <w:rFonts w:ascii="Trebuchet MS" w:hAnsi="Trebuchet MS"/>
          <w:bCs/>
          <w:sz w:val="22"/>
          <w:szCs w:val="22"/>
        </w:rPr>
        <w:t xml:space="preserve">Kai Sutarties vykdymui Tiekėjui suteikiama nuotolinė prieiga prie Sistemos ar Perkančiosios organizacijos tinklų ir informacinių sistemų, ji vykdoma tik naudojant Perkančiosios organizacijos suteiktas ir valdomas VPN ir PAM priemones, taikant </w:t>
      </w:r>
      <w:proofErr w:type="spellStart"/>
      <w:r w:rsidRPr="00B02CD0">
        <w:rPr>
          <w:rFonts w:ascii="Trebuchet MS" w:hAnsi="Trebuchet MS"/>
          <w:bCs/>
          <w:sz w:val="22"/>
          <w:szCs w:val="22"/>
        </w:rPr>
        <w:t>daugiaveiksnį</w:t>
      </w:r>
      <w:proofErr w:type="spellEnd"/>
      <w:r w:rsidRPr="00B02CD0">
        <w:rPr>
          <w:rFonts w:ascii="Trebuchet MS" w:hAnsi="Trebuchet MS"/>
          <w:bCs/>
          <w:sz w:val="22"/>
          <w:szCs w:val="22"/>
        </w:rPr>
        <w:t xml:space="preserve"> tapatumo nustatymą (MFA). Kitų nuotolinės prieigos būdų naudojimas galimas tik išimtiniais atvejais, iš anksto raštu suderinus su Perkančiąja organizacija. Tiekėjui draudžiama apeiti, išjungti ar kitaip susilpninti taikomas VPN, PAM, MFA, prieigos kontrolės ar veiksmų </w:t>
      </w:r>
      <w:proofErr w:type="spellStart"/>
      <w:r w:rsidRPr="00B02CD0">
        <w:rPr>
          <w:rFonts w:ascii="Trebuchet MS" w:hAnsi="Trebuchet MS"/>
          <w:bCs/>
          <w:sz w:val="22"/>
          <w:szCs w:val="22"/>
        </w:rPr>
        <w:t>žurnalavimo</w:t>
      </w:r>
      <w:proofErr w:type="spellEnd"/>
      <w:r w:rsidRPr="00B02CD0">
        <w:rPr>
          <w:rFonts w:ascii="Trebuchet MS" w:hAnsi="Trebuchet MS"/>
          <w:bCs/>
          <w:sz w:val="22"/>
          <w:szCs w:val="22"/>
        </w:rPr>
        <w:t xml:space="preserve"> priemones.</w:t>
      </w:r>
    </w:p>
    <w:p w14:paraId="7C90C936" w14:textId="32BDF60A" w:rsidR="008F3CC4" w:rsidRPr="00B02CD0" w:rsidRDefault="008F3CC4" w:rsidP="00804597">
      <w:pPr>
        <w:pStyle w:val="ListParagraph0"/>
        <w:numPr>
          <w:ilvl w:val="1"/>
          <w:numId w:val="4"/>
        </w:numPr>
        <w:ind w:left="0" w:firstLine="426"/>
        <w:jc w:val="both"/>
        <w:rPr>
          <w:rFonts w:ascii="Trebuchet MS" w:hAnsi="Trebuchet MS"/>
          <w:bCs/>
          <w:sz w:val="22"/>
          <w:szCs w:val="22"/>
        </w:rPr>
      </w:pPr>
      <w:r w:rsidRPr="00B02CD0">
        <w:rPr>
          <w:rFonts w:ascii="Trebuchet MS" w:hAnsi="Trebuchet MS"/>
          <w:bCs/>
          <w:sz w:val="22"/>
          <w:szCs w:val="22"/>
        </w:rPr>
        <w:t>Prieiga prie Sistemos ir Perkančiosios organizacijos aplinkos suteikiama tik iš anksto nurodytiems Tiekėjo darbuotojams ir tik tiek, kiek būtina jų funkcijoms vykdyti. Naudojamos individualios paskyros; dalintis paskyromis ar autentifikavimo duomenimis draudžiama. Tiekėjas nedelsdamas, bet ne vėliau kaip per 1 darbo dieną nuo sužinojimo apie atitinkamą aplinkybę, informuoja Perkančiąją organizaciją apie darbuotojo pasitraukimą, funkcijų pasikeitimą ar kitą aplinkybę, dėl kurios suteikta prieiga turi būti panaikinta arba pakeista.</w:t>
      </w:r>
    </w:p>
    <w:p w14:paraId="6ED80329" w14:textId="77777777" w:rsidR="0041295C" w:rsidRPr="00B02CD0" w:rsidRDefault="0041295C" w:rsidP="00804597">
      <w:pPr>
        <w:pStyle w:val="ListParagraph0"/>
        <w:numPr>
          <w:ilvl w:val="1"/>
          <w:numId w:val="4"/>
        </w:numPr>
        <w:ind w:left="0" w:firstLine="426"/>
        <w:jc w:val="both"/>
        <w:rPr>
          <w:rFonts w:ascii="Trebuchet MS" w:hAnsi="Trebuchet MS"/>
          <w:bCs/>
          <w:sz w:val="22"/>
          <w:szCs w:val="22"/>
        </w:rPr>
      </w:pPr>
      <w:r w:rsidRPr="00B02CD0">
        <w:rPr>
          <w:rFonts w:ascii="Trebuchet MS" w:hAnsi="Trebuchet MS"/>
          <w:bCs/>
          <w:sz w:val="22"/>
          <w:szCs w:val="22"/>
        </w:rPr>
        <w:t>Tiekėjo įrenginiai, kuriais jungiamasi prie Perkančiosios organizacijos aplinkos, turi būti Tiekėjo administruojami, naudoti gamintojo ar kūrėjo palaikomas operacinės sistemos ir programinės įrangos versijas, turėti aktualius saugumo atnaujinimus ir veikiančias antivirusines, EDR arba lygiavertes apsaugos priemones.</w:t>
      </w:r>
    </w:p>
    <w:p w14:paraId="19B42688" w14:textId="77777777" w:rsidR="00753A16" w:rsidRPr="00B02CD0" w:rsidRDefault="00753A16" w:rsidP="00804597">
      <w:pPr>
        <w:pStyle w:val="ListParagraph0"/>
        <w:numPr>
          <w:ilvl w:val="1"/>
          <w:numId w:val="4"/>
        </w:numPr>
        <w:ind w:left="0" w:firstLine="426"/>
        <w:jc w:val="both"/>
        <w:rPr>
          <w:rFonts w:ascii="Trebuchet MS" w:hAnsi="Trebuchet MS"/>
          <w:bCs/>
          <w:sz w:val="22"/>
          <w:szCs w:val="22"/>
        </w:rPr>
      </w:pPr>
      <w:r w:rsidRPr="00B02CD0">
        <w:rPr>
          <w:rFonts w:ascii="Trebuchet MS" w:hAnsi="Trebuchet MS"/>
          <w:bCs/>
          <w:sz w:val="22"/>
          <w:szCs w:val="22"/>
        </w:rPr>
        <w:t>Papildant šios techninės specifikacijos 3.11 punkto reikalavimus, Tiekėjas prieš pateikdamas Perkančiajai organizacijai naują ar pakeistą Sistemos funkcionalumą, atsižvelgdamas į pakeitimo pobūdį ir riziką, privalo atlikti jo saugumo patikrinimą ir (ar) pažeidžiamumų vertinimą. Nustatyti kritiniai ar aukšto rizikos lygio saugumo trūkumai turi būti pašalinti iki atnaujinimo ar diegimo paketo pateikimo Perkančiajai organizacijai, išskyrus iš anksto raštu suderintus atvejus, kai taikomos tinkamos kompensacinės rizikos mažinimo priemonės.</w:t>
      </w:r>
    </w:p>
    <w:p w14:paraId="42DF724B" w14:textId="2733CE77" w:rsidR="00C96EDC" w:rsidRPr="00B02CD0" w:rsidRDefault="00C96EDC" w:rsidP="00804597">
      <w:pPr>
        <w:pStyle w:val="ListParagraph0"/>
        <w:numPr>
          <w:ilvl w:val="1"/>
          <w:numId w:val="4"/>
        </w:numPr>
        <w:ind w:left="0" w:firstLine="426"/>
        <w:jc w:val="both"/>
        <w:rPr>
          <w:rFonts w:ascii="Trebuchet MS" w:hAnsi="Trebuchet MS"/>
          <w:bCs/>
          <w:sz w:val="22"/>
          <w:szCs w:val="22"/>
        </w:rPr>
      </w:pPr>
      <w:r w:rsidRPr="00B02CD0">
        <w:rPr>
          <w:rFonts w:ascii="Trebuchet MS" w:hAnsi="Trebuchet MS"/>
          <w:bCs/>
          <w:sz w:val="22"/>
          <w:szCs w:val="22"/>
        </w:rPr>
        <w:t xml:space="preserve">Patvirtinus Tiekėjo atsakomybei priskirto Sistemos komponento saugumo pažeidžiamumą, Tiekėjas savo sąskaita pateikia Perkančiajai organizacijai jo pataisą, saugos atnaujinimą arba kitą pažeidžiamumą pašalinantį sprendimą ir jo įdiegimui reikalingą informaciją </w:t>
      </w:r>
      <w:r w:rsidRPr="00B02CD0">
        <w:rPr>
          <w:rFonts w:ascii="Trebuchet MS" w:hAnsi="Trebuchet MS"/>
          <w:bCs/>
          <w:sz w:val="22"/>
          <w:szCs w:val="22"/>
        </w:rPr>
        <w:lastRenderedPageBreak/>
        <w:t xml:space="preserve">pagal pažeidžiamumo CVSS rizikos lygį: kritinio rizikos lygio (9,0–10,0) – ne vėliau kaip per </w:t>
      </w:r>
      <w:r w:rsidR="00282D90" w:rsidRPr="00B02CD0">
        <w:rPr>
          <w:rFonts w:ascii="Trebuchet MS" w:hAnsi="Trebuchet MS"/>
          <w:bCs/>
          <w:sz w:val="22"/>
          <w:szCs w:val="22"/>
        </w:rPr>
        <w:t>24</w:t>
      </w:r>
      <w:r w:rsidRPr="00B02CD0">
        <w:rPr>
          <w:rFonts w:ascii="Trebuchet MS" w:hAnsi="Trebuchet MS"/>
          <w:bCs/>
          <w:sz w:val="22"/>
          <w:szCs w:val="22"/>
        </w:rPr>
        <w:t xml:space="preserve"> valandas; aukšto rizikos lygio (7,0–8,9) – per </w:t>
      </w:r>
      <w:r w:rsidR="00282D90" w:rsidRPr="00B02CD0">
        <w:rPr>
          <w:rFonts w:ascii="Trebuchet MS" w:hAnsi="Trebuchet MS"/>
          <w:bCs/>
          <w:sz w:val="22"/>
          <w:szCs w:val="22"/>
        </w:rPr>
        <w:t>7</w:t>
      </w:r>
      <w:r w:rsidRPr="00B02CD0">
        <w:rPr>
          <w:rFonts w:ascii="Trebuchet MS" w:hAnsi="Trebuchet MS"/>
          <w:bCs/>
          <w:sz w:val="22"/>
          <w:szCs w:val="22"/>
        </w:rPr>
        <w:t xml:space="preserve"> kalendorin</w:t>
      </w:r>
      <w:r w:rsidR="00B02CD0">
        <w:rPr>
          <w:rFonts w:ascii="Trebuchet MS" w:hAnsi="Trebuchet MS"/>
          <w:bCs/>
          <w:sz w:val="22"/>
          <w:szCs w:val="22"/>
        </w:rPr>
        <w:t>es</w:t>
      </w:r>
      <w:r w:rsidRPr="00B02CD0">
        <w:rPr>
          <w:rFonts w:ascii="Trebuchet MS" w:hAnsi="Trebuchet MS"/>
          <w:bCs/>
          <w:sz w:val="22"/>
          <w:szCs w:val="22"/>
        </w:rPr>
        <w:t xml:space="preserve"> dien</w:t>
      </w:r>
      <w:r w:rsidR="00B02CD0">
        <w:rPr>
          <w:rFonts w:ascii="Trebuchet MS" w:hAnsi="Trebuchet MS"/>
          <w:bCs/>
          <w:sz w:val="22"/>
          <w:szCs w:val="22"/>
        </w:rPr>
        <w:t>as</w:t>
      </w:r>
      <w:r w:rsidRPr="00B02CD0">
        <w:rPr>
          <w:rFonts w:ascii="Trebuchet MS" w:hAnsi="Trebuchet MS"/>
          <w:bCs/>
          <w:sz w:val="22"/>
          <w:szCs w:val="22"/>
        </w:rPr>
        <w:t>; vidutinio rizikos lygio (4,0–6,9) – per 30 kalendorinių dienų; žemo rizikos lygio (0,1–3,9) – su Perkančiąja organizacija suderintu terminu.</w:t>
      </w:r>
    </w:p>
    <w:p w14:paraId="108E80F6" w14:textId="49985D83" w:rsidR="00167663" w:rsidRPr="00B02CD0" w:rsidRDefault="00167663" w:rsidP="00804597">
      <w:pPr>
        <w:pStyle w:val="ListParagraph0"/>
        <w:numPr>
          <w:ilvl w:val="1"/>
          <w:numId w:val="4"/>
        </w:numPr>
        <w:ind w:left="0" w:firstLine="426"/>
        <w:jc w:val="both"/>
        <w:rPr>
          <w:rFonts w:ascii="Trebuchet MS" w:hAnsi="Trebuchet MS"/>
          <w:bCs/>
          <w:sz w:val="22"/>
          <w:szCs w:val="22"/>
        </w:rPr>
      </w:pPr>
      <w:r w:rsidRPr="00B02CD0">
        <w:rPr>
          <w:rFonts w:ascii="Trebuchet MS" w:hAnsi="Trebuchet MS"/>
          <w:bCs/>
          <w:sz w:val="22"/>
          <w:szCs w:val="22"/>
        </w:rPr>
        <w:t>Jeigu saugumo pažeidžiamumo per 7.10 punkte nustatytą terminą objektyviai negalima pašalinti, Tiekėjas privalo nedelsdamas apie tai informuoti Perkančiąją organizaciją, pateikti pagrindimą, įvertinti riziką ir pasiūlyti kompensacines rizikos mažinimo priemones. Kompensacinių priemonių taikymas ir galutinis pažeidžiamumo pašalinimo terminas derinami su Perkančiąja organizacija.</w:t>
      </w:r>
    </w:p>
    <w:p w14:paraId="6B18EB4F" w14:textId="247D199A" w:rsidR="00C23D96" w:rsidRPr="00B02CD0" w:rsidRDefault="00C23D96" w:rsidP="00804597">
      <w:pPr>
        <w:pStyle w:val="ListParagraph0"/>
        <w:numPr>
          <w:ilvl w:val="1"/>
          <w:numId w:val="4"/>
        </w:numPr>
        <w:ind w:left="0" w:firstLine="426"/>
        <w:jc w:val="both"/>
        <w:rPr>
          <w:rFonts w:ascii="Trebuchet MS" w:hAnsi="Trebuchet MS"/>
          <w:bCs/>
          <w:sz w:val="22"/>
          <w:szCs w:val="22"/>
        </w:rPr>
      </w:pPr>
      <w:r w:rsidRPr="00B02CD0">
        <w:rPr>
          <w:rFonts w:ascii="Trebuchet MS" w:hAnsi="Trebuchet MS"/>
          <w:bCs/>
          <w:sz w:val="22"/>
          <w:szCs w:val="22"/>
        </w:rPr>
        <w:t>Tiekėjas, sužinojęs apie kibernetinį incidentą ar saugumo pažeidimą, kuris paveikė arba gali reikšmingai paveikti Sistemą, jos duomenis, Perkančiosios organizacijos aplinką ar pagal Sutartį teikiamas paslaugas, privalo nedelsdamas, bet ne vėliau kaip per 4 valandas nuo sužinojimo, informuoti Perkančiosios organizacijos kibernetinio saugumo vadovą ir Statistikos ir IT skyriaus vadovą arba jų įgaliotus asmenis Perkančiosios organizacijos nustatytais informavimo kanalais.</w:t>
      </w:r>
    </w:p>
    <w:p w14:paraId="26016F75" w14:textId="4BF157AC" w:rsidR="00051004" w:rsidRPr="00B02CD0" w:rsidRDefault="00051004" w:rsidP="00804597">
      <w:pPr>
        <w:pStyle w:val="ListParagraph0"/>
        <w:numPr>
          <w:ilvl w:val="1"/>
          <w:numId w:val="4"/>
        </w:numPr>
        <w:ind w:left="0" w:firstLine="426"/>
        <w:jc w:val="both"/>
        <w:rPr>
          <w:rFonts w:ascii="Trebuchet MS" w:hAnsi="Trebuchet MS"/>
          <w:bCs/>
          <w:sz w:val="22"/>
          <w:szCs w:val="22"/>
        </w:rPr>
      </w:pPr>
      <w:r w:rsidRPr="00B02CD0">
        <w:rPr>
          <w:rFonts w:ascii="Trebuchet MS" w:hAnsi="Trebuchet MS"/>
          <w:bCs/>
          <w:sz w:val="22"/>
          <w:szCs w:val="22"/>
        </w:rPr>
        <w:t>Tiekėjas privalo bendradarbiauti su Perkančiąja organizacija valdant ir tiriant su Sistema ar Tiekėjo teikiamomis paslaugomis susijusį kibernetinį incidentą, šalinant jo priežastis ir pasekmes, išsaugoti jo turimą su incidentu susijusią informaciją ir Perkančiosios organizacijos prašymu pateikti incidento tyrimui reikalingą informaciją bei incidento tyrimo ataskaitą, kurioje nurodomos incidento priežastys, poveikis ir atlikti šalinimo veiksmai.</w:t>
      </w:r>
    </w:p>
    <w:p w14:paraId="4DA81A26" w14:textId="0F2BFFCF" w:rsidR="003336D5" w:rsidRPr="00B02CD0" w:rsidRDefault="003336D5" w:rsidP="00804597">
      <w:pPr>
        <w:pStyle w:val="ListParagraph0"/>
        <w:numPr>
          <w:ilvl w:val="1"/>
          <w:numId w:val="4"/>
        </w:numPr>
        <w:ind w:left="0" w:firstLine="426"/>
        <w:jc w:val="both"/>
        <w:rPr>
          <w:rFonts w:ascii="Trebuchet MS" w:hAnsi="Trebuchet MS"/>
          <w:bCs/>
          <w:sz w:val="22"/>
          <w:szCs w:val="22"/>
        </w:rPr>
      </w:pPr>
      <w:r w:rsidRPr="00B02CD0">
        <w:rPr>
          <w:rFonts w:ascii="Trebuchet MS" w:hAnsi="Trebuchet MS"/>
          <w:bCs/>
          <w:sz w:val="22"/>
          <w:szCs w:val="22"/>
        </w:rPr>
        <w:t>Tiekėjas negali kopijuoti ar perduoti Perkančiosios organizacijos Sistemoje tvarkomų duomenų į Tiekėjo ar trečiųjų šalių valdomą aplinką, išskyrus atvejus, kai tai objektyviai būtina Sutarties vykdymui ir iš anksto raštu suderinta su Perkančiąja organizacija. Tokiu atveju turi būti tvarkomas tik būtinas duomenų kiekis, taikomos tinkamos duomenų apsaugos priemonės, o duomenys, kai jų nebereikia suderintam tikslui, turi būti saugiai ištrinti arba grąžinti Perkančiajai organizacijai.</w:t>
      </w:r>
    </w:p>
    <w:p w14:paraId="7137A800" w14:textId="613BF557" w:rsidR="000A2037" w:rsidRPr="00B02CD0" w:rsidRDefault="000A2037" w:rsidP="00804597">
      <w:pPr>
        <w:pStyle w:val="ListParagraph0"/>
        <w:numPr>
          <w:ilvl w:val="1"/>
          <w:numId w:val="4"/>
        </w:numPr>
        <w:ind w:left="0" w:firstLine="426"/>
        <w:jc w:val="both"/>
        <w:rPr>
          <w:rFonts w:ascii="Trebuchet MS" w:hAnsi="Trebuchet MS"/>
          <w:bCs/>
          <w:sz w:val="22"/>
          <w:szCs w:val="22"/>
        </w:rPr>
      </w:pPr>
      <w:r w:rsidRPr="00B02CD0">
        <w:rPr>
          <w:rFonts w:ascii="Trebuchet MS" w:hAnsi="Trebuchet MS"/>
          <w:bCs/>
          <w:sz w:val="22"/>
          <w:szCs w:val="22"/>
        </w:rPr>
        <w:t xml:space="preserve">Sistema turi registruoti reikšmingus saugumo ir audito įvykius, įskaitant sėkmingus ir nesėkmingus prisijungimus, naudotojų ir jų teisių pakeitimus, administravimo veiksmus bei kitus reikšmingus Sistemos veiksmus. Tiekėjas neturi išjungti, apeiti ar mažinti Sistemoje įdiegtų </w:t>
      </w:r>
      <w:proofErr w:type="spellStart"/>
      <w:r w:rsidR="00272823" w:rsidRPr="00B02CD0">
        <w:rPr>
          <w:rFonts w:ascii="Trebuchet MS" w:hAnsi="Trebuchet MS"/>
          <w:bCs/>
          <w:sz w:val="22"/>
          <w:szCs w:val="22"/>
        </w:rPr>
        <w:t>žurnalavimo</w:t>
      </w:r>
      <w:proofErr w:type="spellEnd"/>
      <w:r w:rsidRPr="00B02CD0">
        <w:rPr>
          <w:rFonts w:ascii="Trebuchet MS" w:hAnsi="Trebuchet MS"/>
          <w:bCs/>
          <w:sz w:val="22"/>
          <w:szCs w:val="22"/>
        </w:rPr>
        <w:t xml:space="preserve"> ir atsekamumo funkcijų ir, Perkančiajai organizacijai paprašius, turi pateikti informaciją, reikalingą šių žurnalų naudojimui ar integravimui su Perkančiosios organizacijos stebėsenos priemonėmis.</w:t>
      </w:r>
      <w:r w:rsidR="000E4419" w:rsidRPr="00B02CD0">
        <w:rPr>
          <w:rFonts w:ascii="Trebuchet MS" w:hAnsi="Trebuchet MS"/>
          <w:bCs/>
          <w:sz w:val="22"/>
          <w:szCs w:val="22"/>
        </w:rPr>
        <w:t xml:space="preserve"> Sistema turi sudaryti galimybę Perkančiajai organizacijai gauti ar eksportuoti Sistemos audito ir saugumo įvykių įrašus ir, kai techniškai taikoma, perduoti juos į Perkančiosios organizacijos naudojamas centralizuotas saugumo stebėsenos priemones.</w:t>
      </w:r>
    </w:p>
    <w:p w14:paraId="1C44B429" w14:textId="669A94FC" w:rsidR="008D5335" w:rsidRPr="00B02CD0" w:rsidRDefault="008D5335"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Kuriant arba keičiant Sistemos API ar kitas integracines sąsajas, duomenys, perduodami viešaisiais ar kitais nepatikimais tinklais, turi būti apsaugoti naudojant aktualius ir saugiais laikomus kriptografinius protokolus. Turi būti naudojamas TLS 1.3, o TLS 1.2 leidžiamas, kai TLS 1.3 naudojimas techniškai negalimas, arba naudojami lygiaverčiai saugūs protokolai. Atliekami pakeitimai negali nepagrįstai silpninti esamų duomenų perdavimo apsaugos priemonių.</w:t>
      </w:r>
    </w:p>
    <w:p w14:paraId="4D012B49" w14:textId="1B2CAF10" w:rsidR="00A174A4" w:rsidRPr="00B02CD0" w:rsidRDefault="00603450" w:rsidP="00804597">
      <w:pPr>
        <w:numPr>
          <w:ilvl w:val="1"/>
          <w:numId w:val="4"/>
        </w:numPr>
        <w:spacing w:line="276" w:lineRule="auto"/>
        <w:ind w:left="0" w:firstLine="426"/>
        <w:jc w:val="both"/>
        <w:rPr>
          <w:rFonts w:ascii="Trebuchet MS" w:hAnsi="Trebuchet MS"/>
          <w:bCs/>
          <w:sz w:val="22"/>
          <w:szCs w:val="22"/>
        </w:rPr>
      </w:pPr>
      <w:r w:rsidRPr="00B02CD0">
        <w:rPr>
          <w:rFonts w:ascii="Trebuchet MS" w:hAnsi="Trebuchet MS"/>
          <w:bCs/>
          <w:sz w:val="22"/>
          <w:szCs w:val="22"/>
        </w:rPr>
        <w:t>Perkančioji organizacija turi teisę periodiškai vertinti Tiekėjo atitiktį šio skyriaus reikalavimams ir, esant poreikiui, atlikti planinį ar neplaninį auditą. Tiekėjas privalo bendradarbiauti ir pateikti pagrįstai prašomą informaciją bei atitiktį pagrindžiančius įrodymus.</w:t>
      </w:r>
      <w:r w:rsidR="00EC1F95" w:rsidRPr="00B02CD0">
        <w:rPr>
          <w:rFonts w:ascii="Trebuchet MS" w:hAnsi="Trebuchet MS"/>
          <w:bCs/>
          <w:sz w:val="22"/>
          <w:szCs w:val="22"/>
        </w:rPr>
        <w:br/>
      </w:r>
    </w:p>
    <w:sectPr w:rsidR="00A174A4" w:rsidRPr="00B02CD0" w:rsidSect="002325D8">
      <w:pgSz w:w="11906" w:h="16838"/>
      <w:pgMar w:top="426"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C676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D313937"/>
    <w:multiLevelType w:val="multilevel"/>
    <w:tmpl w:val="C2C6C014"/>
    <w:lvl w:ilvl="0">
      <w:start w:val="1"/>
      <w:numFmt w:val="decimal"/>
      <w:lvlText w:val="%1."/>
      <w:lvlJc w:val="left"/>
      <w:pPr>
        <w:ind w:left="720" w:hanging="360"/>
      </w:pPr>
      <w:rPr>
        <w:rFonts w:cs="Times New Roman"/>
        <w:b/>
        <w:color w:val="auto"/>
      </w:rPr>
    </w:lvl>
    <w:lvl w:ilvl="1">
      <w:start w:val="1"/>
      <w:numFmt w:val="decimal"/>
      <w:isLgl/>
      <w:lvlText w:val="%1.%2."/>
      <w:lvlJc w:val="left"/>
      <w:pPr>
        <w:ind w:left="720" w:hanging="360"/>
      </w:pPr>
      <w:rPr>
        <w:rFonts w:cs="Times New Roman"/>
        <w:b/>
        <w:i w:val="0"/>
        <w:sz w:val="20"/>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2" w15:restartNumberingAfterBreak="0">
    <w:nsid w:val="7D696AA1"/>
    <w:multiLevelType w:val="multilevel"/>
    <w:tmpl w:val="45E4C07A"/>
    <w:lvl w:ilvl="0">
      <w:start w:val="1"/>
      <w:numFmt w:val="decimal"/>
      <w:lvlText w:val="%1."/>
      <w:lvlJc w:val="left"/>
      <w:pPr>
        <w:ind w:left="720" w:hanging="360"/>
      </w:pPr>
      <w:rPr>
        <w:rFonts w:cs="Times New Roman" w:hint="default"/>
        <w:b/>
        <w:color w:val="auto"/>
      </w:rPr>
    </w:lvl>
    <w:lvl w:ilvl="1">
      <w:start w:val="1"/>
      <w:numFmt w:val="decimal"/>
      <w:isLgl/>
      <w:lvlText w:val="%1.%2."/>
      <w:lvlJc w:val="left"/>
      <w:pPr>
        <w:ind w:left="720" w:hanging="360"/>
      </w:pPr>
      <w:rPr>
        <w:rFonts w:cs="Times New Roman" w:hint="default"/>
        <w:b/>
      </w:rPr>
    </w:lvl>
    <w:lvl w:ilvl="2">
      <w:start w:val="1"/>
      <w:numFmt w:val="decimal"/>
      <w:isLgl/>
      <w:lvlText w:val="%1.%2.%3."/>
      <w:lvlJc w:val="left"/>
      <w:pPr>
        <w:ind w:left="1080" w:hanging="513"/>
      </w:pPr>
      <w:rPr>
        <w:rFonts w:cs="Times New Roman" w:hint="default"/>
        <w:b/>
        <w:sz w:val="20"/>
        <w:szCs w:val="20"/>
      </w:rPr>
    </w:lvl>
    <w:lvl w:ilvl="3">
      <w:start w:val="1"/>
      <w:numFmt w:val="decimal"/>
      <w:isLgl/>
      <w:lvlText w:val="%1.%2.%3.%4."/>
      <w:lvlJc w:val="left"/>
      <w:pPr>
        <w:ind w:left="1814" w:hanging="737"/>
      </w:pPr>
      <w:rPr>
        <w:rFonts w:cs="Times New Roman" w:hint="default"/>
        <w:b/>
        <w:i w:val="0"/>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7DF5682B"/>
    <w:multiLevelType w:val="hybridMultilevel"/>
    <w:tmpl w:val="747C3C90"/>
    <w:lvl w:ilvl="0" w:tplc="6B8AFE40">
      <w:start w:val="2"/>
      <w:numFmt w:val="bullet"/>
      <w:lvlText w:val=""/>
      <w:lvlJc w:val="left"/>
      <w:pPr>
        <w:ind w:left="1080" w:hanging="360"/>
      </w:pPr>
      <w:rPr>
        <w:rFonts w:ascii="Symbol" w:eastAsia="Calibri" w:hAnsi="Symbol"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16cid:durableId="290600336">
    <w:abstractNumId w:val="2"/>
  </w:num>
  <w:num w:numId="2" w16cid:durableId="1994414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6439742">
    <w:abstractNumId w:val="3"/>
  </w:num>
  <w:num w:numId="4" w16cid:durableId="555972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7BC"/>
    <w:rsid w:val="00034E0F"/>
    <w:rsid w:val="00051004"/>
    <w:rsid w:val="000A2037"/>
    <w:rsid w:val="000E4419"/>
    <w:rsid w:val="00143D96"/>
    <w:rsid w:val="00151F1A"/>
    <w:rsid w:val="00167663"/>
    <w:rsid w:val="001B6D95"/>
    <w:rsid w:val="00214E29"/>
    <w:rsid w:val="002325D8"/>
    <w:rsid w:val="00253BF4"/>
    <w:rsid w:val="00271A7F"/>
    <w:rsid w:val="00272823"/>
    <w:rsid w:val="002772EA"/>
    <w:rsid w:val="00282D90"/>
    <w:rsid w:val="002B0314"/>
    <w:rsid w:val="002D216A"/>
    <w:rsid w:val="003209CA"/>
    <w:rsid w:val="003336D5"/>
    <w:rsid w:val="00333CE5"/>
    <w:rsid w:val="00373AED"/>
    <w:rsid w:val="0041295C"/>
    <w:rsid w:val="00432324"/>
    <w:rsid w:val="004512BA"/>
    <w:rsid w:val="0046099F"/>
    <w:rsid w:val="004F55A9"/>
    <w:rsid w:val="00546874"/>
    <w:rsid w:val="00554C72"/>
    <w:rsid w:val="00565E1E"/>
    <w:rsid w:val="00581273"/>
    <w:rsid w:val="00585E35"/>
    <w:rsid w:val="005A3A0A"/>
    <w:rsid w:val="005B4279"/>
    <w:rsid w:val="00603450"/>
    <w:rsid w:val="00667F72"/>
    <w:rsid w:val="00685D94"/>
    <w:rsid w:val="006A70B3"/>
    <w:rsid w:val="006B1173"/>
    <w:rsid w:val="00707556"/>
    <w:rsid w:val="0074642D"/>
    <w:rsid w:val="00753A16"/>
    <w:rsid w:val="00754B61"/>
    <w:rsid w:val="007655DC"/>
    <w:rsid w:val="007B6DF6"/>
    <w:rsid w:val="007C2DD8"/>
    <w:rsid w:val="00804597"/>
    <w:rsid w:val="008171EA"/>
    <w:rsid w:val="00855DCD"/>
    <w:rsid w:val="00862001"/>
    <w:rsid w:val="008D07BC"/>
    <w:rsid w:val="008D5335"/>
    <w:rsid w:val="008F148D"/>
    <w:rsid w:val="008F3CC4"/>
    <w:rsid w:val="009A19AB"/>
    <w:rsid w:val="009D6FF1"/>
    <w:rsid w:val="009E03E5"/>
    <w:rsid w:val="00A174A4"/>
    <w:rsid w:val="00AA3A69"/>
    <w:rsid w:val="00AD0808"/>
    <w:rsid w:val="00B02CD0"/>
    <w:rsid w:val="00B203C5"/>
    <w:rsid w:val="00B92921"/>
    <w:rsid w:val="00C23D96"/>
    <w:rsid w:val="00C8311E"/>
    <w:rsid w:val="00C96EDC"/>
    <w:rsid w:val="00D01B02"/>
    <w:rsid w:val="00D34403"/>
    <w:rsid w:val="00E70088"/>
    <w:rsid w:val="00EC1F95"/>
    <w:rsid w:val="00ED00ED"/>
    <w:rsid w:val="00FA38F4"/>
    <w:rsid w:val="00FD7B62"/>
    <w:rsid w:val="2DBB8FEB"/>
    <w:rsid w:val="49DAF4A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E95F4A"/>
  <w15:chartTrackingRefBased/>
  <w15:docId w15:val="{77769751-8DAC-4699-8056-08FFEAAEE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6874"/>
    <w:rPr>
      <w:rFonts w:eastAsia="Calibr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aliases w:val="List Paragraph Red,Bullet EY,Buletai,List Paragraph21,List Paragraph2,lp1,Bullet 1,Use Case List Paragraph,Numbering,ERP-List Paragraph,List Paragraph11,List Paragraph111"/>
    <w:basedOn w:val="Normal"/>
    <w:link w:val="ListParagraphChar"/>
    <w:rsid w:val="008D07BC"/>
    <w:pPr>
      <w:spacing w:after="200" w:line="276" w:lineRule="auto"/>
      <w:ind w:left="720"/>
    </w:pPr>
    <w:rPr>
      <w:rFonts w:ascii="Calibri" w:hAnsi="Calibri"/>
      <w:sz w:val="20"/>
    </w:rPr>
  </w:style>
  <w:style w:type="character" w:customStyle="1" w:styleId="ListParagraphChar">
    <w:name w:val="List Paragraph Char"/>
    <w:aliases w:val="List Paragraph Red Char,Bullet EY Char,Buletai Char,List Paragraph21 Char,List Paragraph2 Char,lp1 Char,Bullet 1 Char,Use Case List Paragraph Char,Numbering Char,ERP-List Paragraph Char,List Paragraph11 Char,List Paragraph111 Char"/>
    <w:link w:val="ListParagraph1"/>
    <w:locked/>
    <w:rsid w:val="008D07BC"/>
    <w:rPr>
      <w:rFonts w:ascii="Calibri" w:eastAsia="Calibri" w:hAnsi="Calibri"/>
      <w:lang w:val="lt-LT" w:eastAsia="lt-LT" w:bidi="ar-SA"/>
    </w:rPr>
  </w:style>
  <w:style w:type="paragraph" w:styleId="BalloonText">
    <w:name w:val="Balloon Text"/>
    <w:basedOn w:val="Normal"/>
    <w:link w:val="BalloonTextChar"/>
    <w:rsid w:val="002D216A"/>
    <w:rPr>
      <w:rFonts w:ascii="Segoe UI" w:hAnsi="Segoe UI" w:cs="Segoe UI"/>
      <w:sz w:val="18"/>
      <w:szCs w:val="18"/>
    </w:rPr>
  </w:style>
  <w:style w:type="character" w:customStyle="1" w:styleId="BalloonTextChar">
    <w:name w:val="Balloon Text Char"/>
    <w:link w:val="BalloonText"/>
    <w:rsid w:val="002D216A"/>
    <w:rPr>
      <w:rFonts w:ascii="Segoe UI" w:eastAsia="Calibri" w:hAnsi="Segoe UI" w:cs="Segoe UI"/>
      <w:sz w:val="18"/>
      <w:szCs w:val="18"/>
    </w:rPr>
  </w:style>
  <w:style w:type="paragraph" w:customStyle="1" w:styleId="ListParagraph0">
    <w:name w:val="List Paragraph0"/>
    <w:basedOn w:val="Normal"/>
    <w:uiPriority w:val="34"/>
    <w:qFormat/>
    <w:rsid w:val="00754B61"/>
    <w:pPr>
      <w:ind w:left="720"/>
      <w:contextualSpacing/>
    </w:pPr>
  </w:style>
  <w:style w:type="paragraph" w:styleId="Revision">
    <w:name w:val="Revision"/>
    <w:hidden/>
    <w:uiPriority w:val="99"/>
    <w:semiHidden/>
    <w:rsid w:val="00581273"/>
    <w:rPr>
      <w:rFonts w:eastAsia="Calibri"/>
      <w:sz w:val="24"/>
    </w:rPr>
  </w:style>
  <w:style w:type="character" w:styleId="CommentReference">
    <w:name w:val="annotation reference"/>
    <w:basedOn w:val="DefaultParagraphFont"/>
    <w:rsid w:val="00B02CD0"/>
    <w:rPr>
      <w:sz w:val="16"/>
      <w:szCs w:val="16"/>
    </w:rPr>
  </w:style>
  <w:style w:type="paragraph" w:styleId="CommentText">
    <w:name w:val="annotation text"/>
    <w:basedOn w:val="Normal"/>
    <w:link w:val="CommentTextChar"/>
    <w:rsid w:val="00B02CD0"/>
    <w:rPr>
      <w:sz w:val="20"/>
    </w:rPr>
  </w:style>
  <w:style w:type="character" w:customStyle="1" w:styleId="CommentTextChar">
    <w:name w:val="Comment Text Char"/>
    <w:basedOn w:val="DefaultParagraphFont"/>
    <w:link w:val="CommentText"/>
    <w:rsid w:val="00B02CD0"/>
    <w:rPr>
      <w:rFonts w:eastAsia="Calibri"/>
    </w:rPr>
  </w:style>
  <w:style w:type="paragraph" w:styleId="CommentSubject">
    <w:name w:val="annotation subject"/>
    <w:basedOn w:val="CommentText"/>
    <w:next w:val="CommentText"/>
    <w:link w:val="CommentSubjectChar"/>
    <w:rsid w:val="00B02CD0"/>
    <w:rPr>
      <w:b/>
      <w:bCs/>
    </w:rPr>
  </w:style>
  <w:style w:type="character" w:customStyle="1" w:styleId="CommentSubjectChar">
    <w:name w:val="Comment Subject Char"/>
    <w:basedOn w:val="CommentTextChar"/>
    <w:link w:val="CommentSubject"/>
    <w:rsid w:val="00B02CD0"/>
    <w:rPr>
      <w:rFonts w:eastAsia="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EB9C0-8C20-4F78-92E9-2B79CC178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7</Pages>
  <Words>17049</Words>
  <Characters>9719</Characters>
  <Application>Microsoft Office Word</Application>
  <DocSecurity>0</DocSecurity>
  <Lines>80</Lines>
  <Paragraphs>53</Paragraphs>
  <ScaleCrop>false</ScaleCrop>
  <HeadingPairs>
    <vt:vector size="2" baseType="variant">
      <vt:variant>
        <vt:lpstr>Title</vt:lpstr>
      </vt:variant>
      <vt:variant>
        <vt:i4>1</vt:i4>
      </vt:variant>
    </vt:vector>
  </HeadingPairs>
  <TitlesOfParts>
    <vt:vector size="1" baseType="lpstr">
      <vt:lpstr>Priedas Nr</vt:lpstr>
    </vt:vector>
  </TitlesOfParts>
  <Company>UAB Vikarinos technologijos</Company>
  <LinksUpToDate>false</LinksUpToDate>
  <CharactersWithSpaces>26715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Priedas Nr</dc:title>
  <dc:subject/>
  <dc:creator>Viktoras Bauža</dc:creator>
  <cp:keywords/>
  <dc:description/>
  <cp:lastModifiedBy>Milda Jurevičienė</cp:lastModifiedBy>
  <cp:revision>7</cp:revision>
  <dcterms:created xsi:type="dcterms:W3CDTF">2026-10-01T10:19:00Z</dcterms:created>
  <dcterms:modified xsi:type="dcterms:W3CDTF">2026-10-02T05:14:00Z</dcterms:modified>
</cp:coreProperties>
</file>