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77777777" w:rsidR="00137FA0" w:rsidRDefault="00FD2F91" w:rsidP="00FD2F91">
      <w:pPr>
        <w:jc w:val="right"/>
        <w:rPr>
          <w:b/>
        </w:rPr>
      </w:pPr>
      <w:r>
        <w:rPr>
          <w:b/>
        </w:rPr>
        <w:t xml:space="preserve">Pirkimo sąlygų </w:t>
      </w:r>
      <w:r w:rsidR="00A5035D">
        <w:rPr>
          <w:b/>
        </w:rPr>
        <w:t>2</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55E41CC3"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(-i) Šiaulių rajono savivaldybės administracijos</w:t>
      </w:r>
      <w:r w:rsidR="005A0067">
        <w:t xml:space="preserve"> (toliau – </w:t>
      </w:r>
      <w:r w:rsidR="005A0067" w:rsidRPr="00BC06E2">
        <w:t>Perkančioji organizacija)</w:t>
      </w:r>
      <w:r w:rsidRPr="00BC06E2">
        <w:t xml:space="preserve"> </w:t>
      </w:r>
      <w:r w:rsidR="007948DC" w:rsidRPr="00BC06E2">
        <w:t>skelbiamos apklausos būdu vykdomame mažos vertės pirkime</w:t>
      </w:r>
      <w:r w:rsidR="009A2A0B">
        <w:t xml:space="preserve">   </w:t>
      </w:r>
      <w:r w:rsidR="007948DC" w:rsidRPr="001F50EE">
        <w:rPr>
          <w:b/>
        </w:rPr>
        <w:t>„</w:t>
      </w:r>
      <w:r w:rsidR="009A2A0B" w:rsidRPr="009A2A0B">
        <w:rPr>
          <w:b/>
        </w:rPr>
        <w:t>Šiaulių r. Meškuičių sen. Meškuičių mstl. dalies Basanavičiaus g. melioracijos statinių rekonstravimo darbai</w:t>
      </w:r>
      <w:r w:rsidR="007948DC" w:rsidRPr="001F50EE">
        <w:rPr>
          <w:b/>
        </w:rPr>
        <w:t>“</w:t>
      </w:r>
      <w:r w:rsidR="00B220F2">
        <w:t xml:space="preserve"> </w:t>
      </w:r>
      <w:r w:rsidR="00391045">
        <w:t>(</w:t>
      </w:r>
      <w:r w:rsidR="00A2580A">
        <w:t>P</w:t>
      </w:r>
      <w:r w:rsidR="00391045">
        <w:t xml:space="preserve">irkimo </w:t>
      </w:r>
      <w:r w:rsidR="00391045" w:rsidRPr="00D7723A">
        <w:t>Nr.</w:t>
      </w:r>
      <w:r w:rsidR="003977E4" w:rsidRPr="003977E4">
        <w:t xml:space="preserve"> </w:t>
      </w:r>
      <w:r w:rsidR="00A22E86" w:rsidRPr="00A22E86">
        <w:t>909059</w:t>
      </w:r>
      <w:r w:rsidR="009B503C" w:rsidRPr="00D7723A">
        <w:t>)</w:t>
      </w:r>
      <w:r w:rsidRPr="00D7723A">
        <w:t>, 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575362572">
    <w:abstractNumId w:val="0"/>
  </w:num>
  <w:num w:numId="2" w16cid:durableId="1485273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6F5B"/>
    <w:rsid w:val="0007246C"/>
    <w:rsid w:val="0009174F"/>
    <w:rsid w:val="000C04BD"/>
    <w:rsid w:val="000C2139"/>
    <w:rsid w:val="000E26FA"/>
    <w:rsid w:val="000E6E82"/>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62B7"/>
    <w:rsid w:val="0050289C"/>
    <w:rsid w:val="00575FAF"/>
    <w:rsid w:val="005A0067"/>
    <w:rsid w:val="005C1F65"/>
    <w:rsid w:val="005D773F"/>
    <w:rsid w:val="005E2DA6"/>
    <w:rsid w:val="005F135E"/>
    <w:rsid w:val="005F44FB"/>
    <w:rsid w:val="00604B71"/>
    <w:rsid w:val="00692EC5"/>
    <w:rsid w:val="0069569D"/>
    <w:rsid w:val="00695B40"/>
    <w:rsid w:val="006D4DC5"/>
    <w:rsid w:val="006E70A6"/>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B220F2"/>
    <w:rsid w:val="00B27999"/>
    <w:rsid w:val="00B40894"/>
    <w:rsid w:val="00B71037"/>
    <w:rsid w:val="00B77EE2"/>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B136B"/>
    <w:rsid w:val="00DD2A7B"/>
    <w:rsid w:val="00DE0600"/>
    <w:rsid w:val="00DE7EDE"/>
    <w:rsid w:val="00E53374"/>
    <w:rsid w:val="00E96DF4"/>
    <w:rsid w:val="00EC4506"/>
    <w:rsid w:val="00ED7868"/>
    <w:rsid w:val="00F00F48"/>
    <w:rsid w:val="00F25788"/>
    <w:rsid w:val="00F26858"/>
    <w:rsid w:val="00F5473A"/>
    <w:rsid w:val="00F7445D"/>
    <w:rsid w:val="00F82A9A"/>
    <w:rsid w:val="00F84A96"/>
    <w:rsid w:val="00FA3DCC"/>
    <w:rsid w:val="00FD2F91"/>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359</Words>
  <Characters>2051</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58</cp:revision>
  <dcterms:created xsi:type="dcterms:W3CDTF">2023-11-07T09:30:00Z</dcterms:created>
  <dcterms:modified xsi:type="dcterms:W3CDTF">2025-01-24T13:23:00Z</dcterms:modified>
</cp:coreProperties>
</file>