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53111" w14:textId="74A4C238" w:rsidR="005F4BCC" w:rsidRPr="006372D2" w:rsidRDefault="00C65636" w:rsidP="006372D2">
      <w:pPr>
        <w:spacing w:after="0" w:line="252" w:lineRule="auto"/>
        <w:ind w:left="7201"/>
        <w:rPr>
          <w:rFonts w:ascii="Times New Roman" w:hAnsi="Times New Roman"/>
          <w:kern w:val="2"/>
          <w:sz w:val="24"/>
          <w:szCs w:val="24"/>
        </w:rPr>
      </w:pPr>
      <w:r>
        <w:rPr>
          <w:rFonts w:ascii="Times New Roman" w:hAnsi="Times New Roman"/>
          <w:kern w:val="2"/>
          <w:sz w:val="24"/>
          <w:szCs w:val="24"/>
        </w:rPr>
        <w:t>Pirkimo s</w:t>
      </w:r>
      <w:r w:rsidR="00DC03F1">
        <w:rPr>
          <w:rFonts w:ascii="Times New Roman" w:hAnsi="Times New Roman"/>
          <w:kern w:val="2"/>
          <w:sz w:val="24"/>
          <w:szCs w:val="24"/>
        </w:rPr>
        <w:t>ąlygų</w:t>
      </w:r>
    </w:p>
    <w:p w14:paraId="3D249F38" w14:textId="7D8BE07A" w:rsidR="00874DD0" w:rsidRPr="006372D2" w:rsidRDefault="006372D2" w:rsidP="006372D2">
      <w:pPr>
        <w:spacing w:after="0" w:line="252" w:lineRule="auto"/>
        <w:ind w:left="7201"/>
        <w:rPr>
          <w:rFonts w:ascii="Times New Roman" w:hAnsi="Times New Roman"/>
          <w:kern w:val="2"/>
          <w:sz w:val="24"/>
          <w:szCs w:val="24"/>
        </w:rPr>
      </w:pPr>
      <w:r>
        <w:rPr>
          <w:rFonts w:ascii="Times New Roman" w:hAnsi="Times New Roman"/>
          <w:kern w:val="2"/>
          <w:sz w:val="24"/>
          <w:szCs w:val="24"/>
        </w:rPr>
        <w:t>2</w:t>
      </w:r>
      <w:r w:rsidR="00874DD0" w:rsidRPr="006372D2">
        <w:rPr>
          <w:rFonts w:ascii="Times New Roman" w:hAnsi="Times New Roman"/>
          <w:kern w:val="2"/>
          <w:sz w:val="24"/>
          <w:szCs w:val="24"/>
        </w:rPr>
        <w:t xml:space="preserve"> priedas</w:t>
      </w:r>
    </w:p>
    <w:p w14:paraId="26A1E9DA" w14:textId="7817CBA8" w:rsidR="005F4BCC" w:rsidRPr="002F1493" w:rsidRDefault="002F1493" w:rsidP="002F1493">
      <w:pPr>
        <w:jc w:val="center"/>
        <w:rPr>
          <w:rFonts w:ascii="Times New Roman" w:hAnsi="Times New Roman"/>
          <w:b/>
          <w:bCs/>
          <w:sz w:val="24"/>
          <w:szCs w:val="24"/>
        </w:rPr>
      </w:pPr>
      <w:r w:rsidRPr="002F1493">
        <w:rPr>
          <w:rFonts w:ascii="Times New Roman" w:hAnsi="Times New Roman"/>
          <w:b/>
          <w:bCs/>
          <w:sz w:val="24"/>
          <w:szCs w:val="24"/>
        </w:rPr>
        <w:t>TECHNINĖ SPECIFIKACIJA</w:t>
      </w:r>
    </w:p>
    <w:tbl>
      <w:tblPr>
        <w:tblW w:w="9923" w:type="dxa"/>
        <w:jc w:val="center"/>
        <w:tblCellMar>
          <w:left w:w="10" w:type="dxa"/>
          <w:right w:w="10" w:type="dxa"/>
        </w:tblCellMar>
        <w:tblLook w:val="0000" w:firstRow="0" w:lastRow="0" w:firstColumn="0" w:lastColumn="0" w:noHBand="0" w:noVBand="0"/>
      </w:tblPr>
      <w:tblGrid>
        <w:gridCol w:w="1696"/>
        <w:gridCol w:w="1560"/>
        <w:gridCol w:w="6667"/>
      </w:tblGrid>
      <w:tr w:rsidR="00B433C5" w14:paraId="58660E75" w14:textId="77777777" w:rsidTr="006372D2">
        <w:trPr>
          <w:trHeight w:val="724"/>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1" w14:textId="77777777" w:rsidR="00B433C5" w:rsidRDefault="00B433C5">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Perkamos prekės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2" w14:textId="77777777" w:rsidR="00B433C5" w:rsidRDefault="00B433C5">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Perkamas kiekis vnt.</w:t>
            </w:r>
          </w:p>
        </w:tc>
        <w:tc>
          <w:tcPr>
            <w:tcW w:w="6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3" w14:textId="77777777" w:rsidR="00B433C5" w:rsidRDefault="00B433C5">
            <w:pPr>
              <w:spacing w:after="0" w:line="240" w:lineRule="auto"/>
              <w:ind w:left="-22"/>
              <w:jc w:val="center"/>
              <w:rPr>
                <w:rFonts w:ascii="Times New Roman" w:eastAsia="Times New Roman" w:hAnsi="Times New Roman"/>
                <w:sz w:val="24"/>
                <w:szCs w:val="24"/>
              </w:rPr>
            </w:pPr>
            <w:r>
              <w:rPr>
                <w:rFonts w:ascii="Times New Roman" w:eastAsia="Times New Roman" w:hAnsi="Times New Roman"/>
                <w:sz w:val="24"/>
                <w:szCs w:val="24"/>
              </w:rPr>
              <w:t>Prekių specifikacija</w:t>
            </w:r>
          </w:p>
        </w:tc>
      </w:tr>
      <w:tr w:rsidR="00B433C5" w14:paraId="58660EA3" w14:textId="77777777" w:rsidTr="006372D2">
        <w:trPr>
          <w:trHeight w:val="724"/>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6" w14:textId="77777777" w:rsidR="00B433C5" w:rsidRDefault="00B433C5">
            <w:pPr>
              <w:spacing w:after="0"/>
              <w:jc w:val="both"/>
              <w:rPr>
                <w:rFonts w:ascii="Times New Roman" w:hAnsi="Times New Roman"/>
                <w:sz w:val="24"/>
                <w:szCs w:val="24"/>
              </w:rPr>
            </w:pPr>
            <w:r>
              <w:rPr>
                <w:rFonts w:ascii="Times New Roman" w:hAnsi="Times New Roman"/>
                <w:sz w:val="24"/>
                <w:szCs w:val="24"/>
              </w:rPr>
              <w:t>Dozės galios matuoklis</w:t>
            </w:r>
          </w:p>
          <w:p w14:paraId="58660E77" w14:textId="77777777" w:rsidR="00B433C5" w:rsidRDefault="00B433C5">
            <w:pPr>
              <w:spacing w:after="0"/>
              <w:jc w:val="both"/>
              <w:rPr>
                <w:rFonts w:ascii="Times New Roman"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8" w14:textId="6D187B32" w:rsidR="00B433C5" w:rsidRDefault="00486637">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w:t>
            </w:r>
            <w:r w:rsidR="00B433C5">
              <w:rPr>
                <w:rFonts w:ascii="Times New Roman" w:eastAsia="Times New Roman" w:hAnsi="Times New Roman"/>
                <w:sz w:val="24"/>
                <w:szCs w:val="24"/>
              </w:rPr>
              <w:t xml:space="preserve"> vnt.</w:t>
            </w:r>
          </w:p>
        </w:tc>
        <w:tc>
          <w:tcPr>
            <w:tcW w:w="6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8660E79" w14:textId="565584E6"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 xml:space="preserve">1. </w:t>
            </w:r>
            <w:r w:rsidR="003111D3" w:rsidRPr="003111D3">
              <w:rPr>
                <w:rFonts w:ascii="Times New Roman" w:hAnsi="Times New Roman"/>
                <w:sz w:val="24"/>
                <w:szCs w:val="24"/>
              </w:rPr>
              <w:t>Matavimo prietaisas, skirtas gama (rentgeno) spinduliuotės aptikimui ir gama spinduliuotės dozės galiai matuoti. Prietaisas turi būti nešiojamas.</w:t>
            </w:r>
          </w:p>
          <w:p w14:paraId="58660E7A" w14:textId="45D500E6"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2. Dozės galios matavimo intervalas turi būti ne siauresn</w:t>
            </w:r>
            <w:r w:rsidR="005A5DEC">
              <w:rPr>
                <w:rFonts w:ascii="Times New Roman" w:hAnsi="Times New Roman"/>
                <w:sz w:val="24"/>
                <w:szCs w:val="24"/>
              </w:rPr>
              <w:t>is</w:t>
            </w:r>
            <w:r>
              <w:rPr>
                <w:rFonts w:ascii="Times New Roman" w:hAnsi="Times New Roman"/>
                <w:sz w:val="24"/>
                <w:szCs w:val="24"/>
              </w:rPr>
              <w:t xml:space="preserve"> kaip  0,</w:t>
            </w:r>
            <w:r w:rsidR="00990B8F">
              <w:rPr>
                <w:rFonts w:ascii="Times New Roman" w:hAnsi="Times New Roman"/>
                <w:sz w:val="24"/>
                <w:szCs w:val="24"/>
              </w:rPr>
              <w:t>2</w:t>
            </w:r>
            <w:r>
              <w:rPr>
                <w:rFonts w:ascii="Times New Roman" w:hAnsi="Times New Roman"/>
                <w:sz w:val="24"/>
                <w:szCs w:val="24"/>
              </w:rPr>
              <w:t xml:space="preserve"> µSv/h </w:t>
            </w:r>
            <w:r w:rsidR="0084241D">
              <w:rPr>
                <w:rFonts w:ascii="Times New Roman" w:hAnsi="Times New Roman"/>
                <w:sz w:val="24"/>
                <w:szCs w:val="24"/>
              </w:rPr>
              <w:t>-</w:t>
            </w:r>
            <w:r>
              <w:rPr>
                <w:rFonts w:ascii="Times New Roman" w:hAnsi="Times New Roman"/>
                <w:sz w:val="24"/>
                <w:szCs w:val="24"/>
              </w:rPr>
              <w:t>200 µSv/h.</w:t>
            </w:r>
            <w:r w:rsidR="00297F19">
              <w:rPr>
                <w:rFonts w:ascii="Times New Roman" w:hAnsi="Times New Roman"/>
                <w:sz w:val="24"/>
                <w:szCs w:val="24"/>
              </w:rPr>
              <w:t xml:space="preserve"> </w:t>
            </w:r>
          </w:p>
          <w:p w14:paraId="58660E7B" w14:textId="748DFDED"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 xml:space="preserve">3. </w:t>
            </w:r>
            <w:r w:rsidR="00280DE3" w:rsidRPr="00280DE3">
              <w:rPr>
                <w:rFonts w:ascii="Times New Roman" w:hAnsi="Times New Roman"/>
                <w:sz w:val="24"/>
                <w:szCs w:val="24"/>
              </w:rPr>
              <w:t xml:space="preserve">Registruojamų gama kvantų energijų intervalas turi būti ne siauresnis kaip </w:t>
            </w:r>
            <w:r w:rsidR="007F121E">
              <w:rPr>
                <w:rFonts w:ascii="Times New Roman" w:hAnsi="Times New Roman"/>
                <w:sz w:val="24"/>
                <w:szCs w:val="24"/>
              </w:rPr>
              <w:t>60</w:t>
            </w:r>
            <w:r w:rsidR="00280DE3" w:rsidRPr="00280DE3">
              <w:rPr>
                <w:rFonts w:ascii="Times New Roman" w:hAnsi="Times New Roman"/>
                <w:sz w:val="24"/>
                <w:szCs w:val="24"/>
              </w:rPr>
              <w:t xml:space="preserve"> keV–1,25 MeV. </w:t>
            </w:r>
          </w:p>
          <w:p w14:paraId="58660E7C" w14:textId="33CEE54B"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4. Matuoklio vidinė atmintis – ne mažiau kaip 1000 matavimų</w:t>
            </w:r>
            <w:r w:rsidR="00743F87">
              <w:rPr>
                <w:rFonts w:ascii="Times New Roman" w:hAnsi="Times New Roman"/>
                <w:sz w:val="24"/>
                <w:szCs w:val="24"/>
              </w:rPr>
              <w:t xml:space="preserve"> arba </w:t>
            </w:r>
            <w:r w:rsidR="005633E3">
              <w:rPr>
                <w:rFonts w:ascii="Times New Roman" w:hAnsi="Times New Roman"/>
                <w:sz w:val="24"/>
                <w:szCs w:val="24"/>
              </w:rPr>
              <w:t>įvykių</w:t>
            </w:r>
            <w:r>
              <w:rPr>
                <w:rFonts w:ascii="Times New Roman" w:hAnsi="Times New Roman"/>
                <w:sz w:val="24"/>
                <w:szCs w:val="24"/>
              </w:rPr>
              <w:t xml:space="preserve"> s</w:t>
            </w:r>
            <w:r w:rsidR="00F9234B">
              <w:rPr>
                <w:rFonts w:ascii="Times New Roman" w:hAnsi="Times New Roman"/>
                <w:sz w:val="24"/>
                <w:szCs w:val="24"/>
              </w:rPr>
              <w:t xml:space="preserve">u </w:t>
            </w:r>
            <w:r>
              <w:rPr>
                <w:rFonts w:ascii="Times New Roman" w:hAnsi="Times New Roman"/>
                <w:sz w:val="24"/>
                <w:szCs w:val="24"/>
              </w:rPr>
              <w:t>data ir laiku.</w:t>
            </w:r>
          </w:p>
          <w:p w14:paraId="58660E7D" w14:textId="77777777"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5. Reikalavimai saugumo sistemai:</w:t>
            </w:r>
          </w:p>
          <w:p w14:paraId="58660E7E" w14:textId="68FF1735"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 xml:space="preserve">5.1. </w:t>
            </w:r>
            <w:r w:rsidR="00D31C6A" w:rsidRPr="00D31C6A">
              <w:rPr>
                <w:rFonts w:ascii="Times New Roman" w:hAnsi="Times New Roman"/>
                <w:sz w:val="24"/>
                <w:szCs w:val="24"/>
              </w:rPr>
              <w:t>garsinį aliarmą</w:t>
            </w:r>
            <w:r w:rsidR="00D31C6A">
              <w:rPr>
                <w:rFonts w:ascii="Times New Roman" w:hAnsi="Times New Roman"/>
                <w:sz w:val="24"/>
                <w:szCs w:val="24"/>
              </w:rPr>
              <w:t>;</w:t>
            </w:r>
          </w:p>
          <w:p w14:paraId="58660E7F" w14:textId="13384731"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 xml:space="preserve">5.2. </w:t>
            </w:r>
            <w:r w:rsidR="00D31C6A" w:rsidRPr="00D31C6A">
              <w:rPr>
                <w:rFonts w:ascii="Times New Roman" w:hAnsi="Times New Roman"/>
                <w:sz w:val="24"/>
                <w:szCs w:val="24"/>
              </w:rPr>
              <w:t>vaizdinį aliarmą;</w:t>
            </w:r>
          </w:p>
          <w:p w14:paraId="0806A5B0" w14:textId="6485D89F" w:rsidR="00D31C6A" w:rsidRDefault="00D31C6A">
            <w:pPr>
              <w:spacing w:after="0" w:line="240" w:lineRule="auto"/>
              <w:ind w:left="29"/>
              <w:jc w:val="both"/>
              <w:rPr>
                <w:rFonts w:ascii="Times New Roman" w:hAnsi="Times New Roman"/>
                <w:sz w:val="24"/>
                <w:szCs w:val="24"/>
              </w:rPr>
            </w:pPr>
            <w:r>
              <w:rPr>
                <w:rFonts w:ascii="Times New Roman" w:hAnsi="Times New Roman"/>
                <w:sz w:val="24"/>
                <w:szCs w:val="24"/>
              </w:rPr>
              <w:t xml:space="preserve">5.3. </w:t>
            </w:r>
            <w:r w:rsidR="00C024ED" w:rsidRPr="00C024ED">
              <w:rPr>
                <w:rFonts w:ascii="Times New Roman" w:hAnsi="Times New Roman"/>
                <w:sz w:val="24"/>
                <w:szCs w:val="24"/>
              </w:rPr>
              <w:t>vibracinį aliarmą</w:t>
            </w:r>
            <w:r w:rsidR="00C024ED">
              <w:rPr>
                <w:rFonts w:ascii="Times New Roman" w:hAnsi="Times New Roman"/>
                <w:sz w:val="24"/>
                <w:szCs w:val="24"/>
              </w:rPr>
              <w:t>;</w:t>
            </w:r>
          </w:p>
          <w:p w14:paraId="5AFDF4A4" w14:textId="3972300F" w:rsidR="005132D5" w:rsidRDefault="00C024ED" w:rsidP="000D6CDE">
            <w:pPr>
              <w:spacing w:after="0" w:line="240" w:lineRule="auto"/>
              <w:ind w:left="29"/>
              <w:jc w:val="both"/>
              <w:rPr>
                <w:rFonts w:ascii="Times New Roman" w:hAnsi="Times New Roman"/>
                <w:sz w:val="24"/>
                <w:szCs w:val="24"/>
              </w:rPr>
            </w:pPr>
            <w:r>
              <w:rPr>
                <w:rFonts w:ascii="Times New Roman" w:hAnsi="Times New Roman"/>
                <w:sz w:val="24"/>
                <w:szCs w:val="24"/>
              </w:rPr>
              <w:t xml:space="preserve">5.4. </w:t>
            </w:r>
            <w:r w:rsidR="005132D5" w:rsidRPr="005132D5">
              <w:rPr>
                <w:rFonts w:ascii="Times New Roman" w:hAnsi="Times New Roman"/>
                <w:sz w:val="24"/>
                <w:szCs w:val="24"/>
              </w:rPr>
              <w:t>aliarmą apie išsikrovusius maitinimo elementus;</w:t>
            </w:r>
            <w:r w:rsidR="005132D5">
              <w:rPr>
                <w:rFonts w:ascii="Times New Roman" w:hAnsi="Times New Roman"/>
                <w:sz w:val="24"/>
                <w:szCs w:val="24"/>
              </w:rPr>
              <w:t xml:space="preserve"> </w:t>
            </w:r>
          </w:p>
          <w:p w14:paraId="58660E80" w14:textId="77777777"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6. Reikalavimai ekranui:</w:t>
            </w:r>
          </w:p>
          <w:p w14:paraId="58660E81" w14:textId="77777777"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6.1. LCD arba lygiavertis;</w:t>
            </w:r>
          </w:p>
          <w:p w14:paraId="58660E82" w14:textId="0689754B"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 xml:space="preserve">6.2. su </w:t>
            </w:r>
            <w:r w:rsidR="00C569FB">
              <w:rPr>
                <w:rFonts w:ascii="Times New Roman" w:hAnsi="Times New Roman"/>
                <w:sz w:val="24"/>
                <w:szCs w:val="24"/>
              </w:rPr>
              <w:t xml:space="preserve">foniniu </w:t>
            </w:r>
            <w:r>
              <w:rPr>
                <w:rFonts w:ascii="Times New Roman" w:hAnsi="Times New Roman"/>
                <w:sz w:val="24"/>
                <w:szCs w:val="24"/>
              </w:rPr>
              <w:t>apšvietimu.</w:t>
            </w:r>
          </w:p>
          <w:p w14:paraId="6C6E7E13" w14:textId="41C3453D" w:rsidR="00D62C40" w:rsidRDefault="00B433C5" w:rsidP="004259AF">
            <w:pPr>
              <w:spacing w:after="0" w:line="240" w:lineRule="auto"/>
              <w:ind w:left="29"/>
              <w:jc w:val="both"/>
              <w:rPr>
                <w:rFonts w:ascii="Times New Roman" w:hAnsi="Times New Roman"/>
                <w:sz w:val="24"/>
                <w:szCs w:val="24"/>
              </w:rPr>
            </w:pPr>
            <w:r>
              <w:rPr>
                <w:rFonts w:ascii="Times New Roman" w:hAnsi="Times New Roman"/>
                <w:sz w:val="24"/>
                <w:szCs w:val="24"/>
              </w:rPr>
              <w:t xml:space="preserve">7. </w:t>
            </w:r>
            <w:r w:rsidR="00D6189C" w:rsidRPr="00D6189C">
              <w:rPr>
                <w:rFonts w:ascii="Times New Roman" w:hAnsi="Times New Roman"/>
                <w:sz w:val="24"/>
                <w:szCs w:val="24"/>
              </w:rPr>
              <w:t>Integruotas scintiliacinis detektorius (NaI, CsI arba lygiavertė technologija).</w:t>
            </w:r>
            <w:r w:rsidR="00D6189C">
              <w:rPr>
                <w:rFonts w:ascii="Times New Roman" w:hAnsi="Times New Roman"/>
                <w:sz w:val="24"/>
                <w:szCs w:val="24"/>
              </w:rPr>
              <w:t xml:space="preserve"> </w:t>
            </w:r>
          </w:p>
          <w:p w14:paraId="58660E84" w14:textId="59384B14"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 xml:space="preserve">8. </w:t>
            </w:r>
            <w:r w:rsidR="005C5E2E" w:rsidRPr="005C5E2E">
              <w:rPr>
                <w:rFonts w:ascii="Times New Roman" w:hAnsi="Times New Roman"/>
                <w:sz w:val="24"/>
                <w:szCs w:val="24"/>
              </w:rPr>
              <w:t>Duomenų perdavimas naudojant USB, Bluetooth, IR arba kitą lygiavertę sąsają. Prietaisas turi būti konfigūruojamas kompiuteriu.</w:t>
            </w:r>
            <w:r w:rsidR="005C5E2E">
              <w:rPr>
                <w:rFonts w:ascii="Times New Roman" w:hAnsi="Times New Roman"/>
                <w:sz w:val="24"/>
                <w:szCs w:val="24"/>
              </w:rPr>
              <w:t xml:space="preserve"> </w:t>
            </w:r>
          </w:p>
          <w:p w14:paraId="25D3A04A" w14:textId="0AD2CE05" w:rsidR="003F40D5" w:rsidRDefault="00B433C5" w:rsidP="00E13829">
            <w:pPr>
              <w:spacing w:after="0" w:line="240" w:lineRule="auto"/>
              <w:ind w:left="29"/>
              <w:jc w:val="both"/>
              <w:rPr>
                <w:rFonts w:ascii="Times New Roman" w:hAnsi="Times New Roman"/>
                <w:sz w:val="24"/>
                <w:szCs w:val="24"/>
              </w:rPr>
            </w:pPr>
            <w:r>
              <w:rPr>
                <w:rFonts w:ascii="Times New Roman" w:hAnsi="Times New Roman"/>
                <w:sz w:val="24"/>
                <w:szCs w:val="24"/>
              </w:rPr>
              <w:t xml:space="preserve">9. </w:t>
            </w:r>
            <w:r w:rsidR="00B30707" w:rsidRPr="00B30707">
              <w:rPr>
                <w:rFonts w:ascii="Times New Roman" w:hAnsi="Times New Roman"/>
                <w:sz w:val="24"/>
                <w:szCs w:val="24"/>
              </w:rPr>
              <w:t>Matuoklis turi tinkamai veikti esant aplinkos temperatūrai nuo –20 °C iki +50 °C ir būti atsparus kritimui iš ne mažesnio kaip 1 m aukščio ant kieto paviršiaus.</w:t>
            </w:r>
          </w:p>
          <w:p w14:paraId="53ECCEDD" w14:textId="135D920A" w:rsidR="00E13829" w:rsidRDefault="00E13829" w:rsidP="00735E7F">
            <w:pPr>
              <w:spacing w:after="0" w:line="240" w:lineRule="auto"/>
              <w:ind w:left="29"/>
              <w:jc w:val="both"/>
              <w:rPr>
                <w:rFonts w:ascii="Times New Roman" w:hAnsi="Times New Roman"/>
                <w:sz w:val="24"/>
                <w:szCs w:val="24"/>
              </w:rPr>
            </w:pPr>
            <w:r>
              <w:rPr>
                <w:rFonts w:ascii="Times New Roman" w:hAnsi="Times New Roman"/>
                <w:sz w:val="24"/>
                <w:szCs w:val="24"/>
              </w:rPr>
              <w:t>10.</w:t>
            </w:r>
            <w:r w:rsidR="00B31CE7">
              <w:rPr>
                <w:rFonts w:ascii="Times New Roman" w:hAnsi="Times New Roman"/>
                <w:sz w:val="24"/>
                <w:szCs w:val="24"/>
              </w:rPr>
              <w:t xml:space="preserve"> </w:t>
            </w:r>
            <w:r w:rsidR="00B31CE7" w:rsidRPr="00B31CE7">
              <w:rPr>
                <w:rFonts w:ascii="Times New Roman" w:hAnsi="Times New Roman"/>
                <w:sz w:val="24"/>
                <w:szCs w:val="24"/>
              </w:rPr>
              <w:t>Matuoklio apsaugos klasė – ne žemesnė kaip IP65.</w:t>
            </w:r>
          </w:p>
          <w:p w14:paraId="5950A685" w14:textId="0AD6D48B" w:rsidR="00051175" w:rsidRDefault="00B433C5" w:rsidP="00051175">
            <w:pPr>
              <w:spacing w:after="0" w:line="240" w:lineRule="auto"/>
              <w:ind w:left="29"/>
              <w:jc w:val="both"/>
              <w:rPr>
                <w:rFonts w:ascii="Times New Roman" w:hAnsi="Times New Roman"/>
                <w:sz w:val="24"/>
                <w:szCs w:val="24"/>
              </w:rPr>
            </w:pPr>
            <w:r>
              <w:rPr>
                <w:rFonts w:ascii="Times New Roman" w:hAnsi="Times New Roman"/>
                <w:sz w:val="24"/>
                <w:szCs w:val="24"/>
              </w:rPr>
              <w:t>1</w:t>
            </w:r>
            <w:r w:rsidR="004E76B8">
              <w:rPr>
                <w:rFonts w:ascii="Times New Roman" w:hAnsi="Times New Roman"/>
                <w:sz w:val="24"/>
                <w:szCs w:val="24"/>
              </w:rPr>
              <w:t>1</w:t>
            </w:r>
            <w:r>
              <w:rPr>
                <w:rFonts w:ascii="Times New Roman" w:hAnsi="Times New Roman"/>
                <w:sz w:val="24"/>
                <w:szCs w:val="24"/>
              </w:rPr>
              <w:t>.</w:t>
            </w:r>
            <w:r w:rsidR="00735E7F">
              <w:rPr>
                <w:rFonts w:ascii="Times New Roman" w:hAnsi="Times New Roman"/>
                <w:sz w:val="24"/>
                <w:szCs w:val="24"/>
              </w:rPr>
              <w:t xml:space="preserve"> </w:t>
            </w:r>
            <w:r w:rsidR="00BF1F2C" w:rsidRPr="00BF1F2C">
              <w:rPr>
                <w:rFonts w:ascii="Times New Roman" w:hAnsi="Times New Roman"/>
                <w:sz w:val="24"/>
                <w:szCs w:val="24"/>
              </w:rPr>
              <w:t>Matuoklis turi būti maitinamas keičiamais AA arba AAA tipo elementais arba įkraunamomis baterijomis. Maitinimo elementai arba įkraunamos baterijos turi būti pakeičiami naujais, nekeičiant paties prietaiso. Šis reikalavimas nustatomas siekiant užtikrinti prekės ilgaamžiškumą ir jos sudedamųjų dalių pakeičiamumą.</w:t>
            </w:r>
          </w:p>
          <w:p w14:paraId="58660E87" w14:textId="2B78AC42" w:rsidR="00B433C5" w:rsidRPr="00DF306B" w:rsidRDefault="00B433C5" w:rsidP="006A30E5">
            <w:pPr>
              <w:spacing w:after="0" w:line="240" w:lineRule="auto"/>
              <w:jc w:val="both"/>
              <w:rPr>
                <w:rFonts w:ascii="Times New Roman" w:hAnsi="Times New Roman"/>
                <w:sz w:val="24"/>
                <w:szCs w:val="24"/>
              </w:rPr>
            </w:pPr>
            <w:r>
              <w:rPr>
                <w:rFonts w:ascii="Times New Roman" w:hAnsi="Times New Roman"/>
                <w:sz w:val="24"/>
                <w:szCs w:val="24"/>
              </w:rPr>
              <w:t>1</w:t>
            </w:r>
            <w:r w:rsidR="00D9504E">
              <w:rPr>
                <w:rFonts w:ascii="Times New Roman" w:hAnsi="Times New Roman"/>
                <w:sz w:val="24"/>
                <w:szCs w:val="24"/>
              </w:rPr>
              <w:t>2</w:t>
            </w:r>
            <w:r>
              <w:rPr>
                <w:rFonts w:ascii="Times New Roman" w:hAnsi="Times New Roman"/>
                <w:sz w:val="24"/>
                <w:szCs w:val="24"/>
              </w:rPr>
              <w:t xml:space="preserve">. </w:t>
            </w:r>
            <w:r w:rsidR="006A30E5" w:rsidRPr="006A30E5">
              <w:rPr>
                <w:rFonts w:ascii="Times New Roman" w:hAnsi="Times New Roman"/>
                <w:sz w:val="24"/>
                <w:szCs w:val="24"/>
              </w:rPr>
              <w:t xml:space="preserve">Komplekte su matuokliu turi būti: </w:t>
            </w:r>
          </w:p>
          <w:p w14:paraId="58660E8C" w14:textId="71A4F8CC" w:rsidR="00B433C5" w:rsidRPr="00DF306B" w:rsidRDefault="00B433C5" w:rsidP="00B351DC">
            <w:pPr>
              <w:spacing w:after="0" w:line="240" w:lineRule="auto"/>
              <w:jc w:val="both"/>
              <w:rPr>
                <w:rFonts w:ascii="Times New Roman" w:hAnsi="Times New Roman"/>
                <w:sz w:val="24"/>
                <w:szCs w:val="24"/>
              </w:rPr>
            </w:pPr>
            <w:r w:rsidRPr="00DF306B">
              <w:rPr>
                <w:rFonts w:ascii="Times New Roman" w:hAnsi="Times New Roman"/>
                <w:sz w:val="24"/>
                <w:szCs w:val="24"/>
              </w:rPr>
              <w:t>1</w:t>
            </w:r>
            <w:r w:rsidR="00D9504E">
              <w:rPr>
                <w:rFonts w:ascii="Times New Roman" w:hAnsi="Times New Roman"/>
                <w:sz w:val="24"/>
                <w:szCs w:val="24"/>
              </w:rPr>
              <w:t>3</w:t>
            </w:r>
            <w:r w:rsidRPr="00DF306B">
              <w:rPr>
                <w:rFonts w:ascii="Times New Roman" w:hAnsi="Times New Roman"/>
                <w:sz w:val="24"/>
                <w:szCs w:val="24"/>
              </w:rPr>
              <w:t xml:space="preserve">. </w:t>
            </w:r>
            <w:r w:rsidR="003665D6" w:rsidRPr="003665D6">
              <w:rPr>
                <w:rFonts w:ascii="Times New Roman" w:hAnsi="Times New Roman"/>
                <w:sz w:val="24"/>
                <w:szCs w:val="24"/>
              </w:rPr>
              <w:t>Matuoklio svoris su maitinimo elementais – ne daugiau kaip 300 g.</w:t>
            </w:r>
          </w:p>
          <w:p w14:paraId="58660E8D" w14:textId="7E8558D3" w:rsidR="00B433C5" w:rsidRPr="00DF306B" w:rsidRDefault="00B433C5">
            <w:pPr>
              <w:spacing w:after="0" w:line="240" w:lineRule="auto"/>
              <w:jc w:val="both"/>
              <w:rPr>
                <w:rFonts w:ascii="Times New Roman" w:hAnsi="Times New Roman"/>
                <w:sz w:val="24"/>
                <w:szCs w:val="24"/>
              </w:rPr>
            </w:pPr>
            <w:r w:rsidRPr="00DF306B">
              <w:rPr>
                <w:rFonts w:ascii="Times New Roman" w:hAnsi="Times New Roman"/>
                <w:sz w:val="24"/>
                <w:szCs w:val="24"/>
              </w:rPr>
              <w:t>1</w:t>
            </w:r>
            <w:r w:rsidR="00D9504E">
              <w:rPr>
                <w:rFonts w:ascii="Times New Roman" w:hAnsi="Times New Roman"/>
                <w:sz w:val="24"/>
                <w:szCs w:val="24"/>
              </w:rPr>
              <w:t>4</w:t>
            </w:r>
            <w:r w:rsidRPr="00DF306B">
              <w:rPr>
                <w:rFonts w:ascii="Times New Roman" w:hAnsi="Times New Roman"/>
                <w:sz w:val="24"/>
                <w:szCs w:val="24"/>
              </w:rPr>
              <w:t>. Garantinis aptarnavimas – ne trumpesnis kaip 24 mėnesiai.</w:t>
            </w:r>
          </w:p>
          <w:p w14:paraId="3523B75B" w14:textId="26CB8F6E" w:rsidR="00236721" w:rsidRDefault="00B433C5" w:rsidP="00236721">
            <w:pPr>
              <w:spacing w:after="0" w:line="240" w:lineRule="auto"/>
              <w:jc w:val="both"/>
              <w:rPr>
                <w:rFonts w:ascii="Times New Roman" w:hAnsi="Times New Roman"/>
                <w:sz w:val="24"/>
                <w:szCs w:val="24"/>
              </w:rPr>
            </w:pPr>
            <w:r w:rsidRPr="00DF306B">
              <w:rPr>
                <w:rFonts w:ascii="Times New Roman" w:hAnsi="Times New Roman"/>
                <w:sz w:val="24"/>
                <w:szCs w:val="24"/>
              </w:rPr>
              <w:t>1</w:t>
            </w:r>
            <w:r w:rsidR="00220EE6">
              <w:rPr>
                <w:rFonts w:ascii="Times New Roman" w:hAnsi="Times New Roman"/>
                <w:sz w:val="24"/>
                <w:szCs w:val="24"/>
              </w:rPr>
              <w:t>5</w:t>
            </w:r>
            <w:r w:rsidRPr="00DF306B">
              <w:rPr>
                <w:rFonts w:ascii="Times New Roman" w:hAnsi="Times New Roman"/>
                <w:sz w:val="24"/>
                <w:szCs w:val="24"/>
              </w:rPr>
              <w:t xml:space="preserve">. </w:t>
            </w:r>
            <w:r w:rsidR="00236721" w:rsidRPr="00236721">
              <w:rPr>
                <w:rFonts w:ascii="Times New Roman" w:hAnsi="Times New Roman"/>
                <w:sz w:val="24"/>
                <w:szCs w:val="24"/>
              </w:rPr>
              <w:t>Pagaminimo metai – ne ankstesni kaip 2025 m.</w:t>
            </w:r>
          </w:p>
          <w:p w14:paraId="58660E8E" w14:textId="7329079C" w:rsidR="000634BB" w:rsidRPr="00DF306B" w:rsidRDefault="004A7961" w:rsidP="00236721">
            <w:pPr>
              <w:spacing w:after="0" w:line="240" w:lineRule="auto"/>
              <w:jc w:val="both"/>
              <w:rPr>
                <w:rFonts w:ascii="Times New Roman" w:hAnsi="Times New Roman"/>
                <w:sz w:val="24"/>
                <w:szCs w:val="24"/>
              </w:rPr>
            </w:pPr>
            <w:r w:rsidRPr="00DF306B">
              <w:rPr>
                <w:rFonts w:ascii="Times New Roman" w:hAnsi="Times New Roman"/>
                <w:sz w:val="24"/>
                <w:szCs w:val="24"/>
              </w:rPr>
              <w:t>1</w:t>
            </w:r>
            <w:r w:rsidR="00220EE6">
              <w:rPr>
                <w:rFonts w:ascii="Times New Roman" w:hAnsi="Times New Roman"/>
                <w:sz w:val="24"/>
                <w:szCs w:val="24"/>
              </w:rPr>
              <w:t>6</w:t>
            </w:r>
            <w:r w:rsidRPr="00DF306B">
              <w:rPr>
                <w:rFonts w:ascii="Times New Roman" w:hAnsi="Times New Roman"/>
                <w:sz w:val="24"/>
                <w:szCs w:val="24"/>
              </w:rPr>
              <w:t xml:space="preserve">. </w:t>
            </w:r>
            <w:r w:rsidR="008A190B" w:rsidRPr="008A190B">
              <w:rPr>
                <w:rFonts w:ascii="Times New Roman" w:hAnsi="Times New Roman"/>
                <w:sz w:val="24"/>
                <w:szCs w:val="24"/>
              </w:rPr>
              <w:t>Prekės turi būti naujos. Kartu su prekėmis turi būti pateiktas gamintojo arba akredituotos laboratorijos išduotas galiojantis kalibravimo sertifikatas arba, kai tai nustatyta teisės aktuose, galiojantis metrologinės patikros dokumentas. Taip pat turi būti pateikti naudojimo, saugojimo ir priežiūros dokumentai lietuvių kalba.</w:t>
            </w:r>
          </w:p>
        </w:tc>
      </w:tr>
    </w:tbl>
    <w:p w14:paraId="58660EA9" w14:textId="77777777" w:rsidR="003720FD" w:rsidRDefault="003720FD">
      <w:pPr>
        <w:spacing w:after="0" w:line="240" w:lineRule="auto"/>
        <w:jc w:val="both"/>
        <w:rPr>
          <w:rFonts w:ascii="Times New Roman" w:hAnsi="Times New Roman"/>
          <w:sz w:val="24"/>
          <w:szCs w:val="24"/>
        </w:rPr>
      </w:pPr>
    </w:p>
    <w:p w14:paraId="3B7D9D16" w14:textId="3CAF5779" w:rsidR="00C84749" w:rsidRPr="006372D2" w:rsidRDefault="00C84749" w:rsidP="006372D2">
      <w:pPr>
        <w:spacing w:line="259" w:lineRule="auto"/>
        <w:jc w:val="center"/>
        <w:rPr>
          <w:rFonts w:ascii="Calibri Light" w:hAnsi="Calibri Light" w:cs="Calibri"/>
          <w:color w:val="0070C0"/>
          <w:lang w:eastAsia="lt-LT"/>
        </w:rPr>
      </w:pPr>
      <w:r>
        <w:rPr>
          <w:rFonts w:ascii="Calibri Light" w:hAnsi="Calibri Light" w:cs="Calibri"/>
          <w:color w:val="0070C0"/>
          <w:lang w:eastAsia="lt-LT"/>
        </w:rPr>
        <w:t>______________</w:t>
      </w:r>
    </w:p>
    <w:sectPr w:rsidR="00C84749" w:rsidRPr="006372D2">
      <w:pgSz w:w="12240" w:h="15840"/>
      <w:pgMar w:top="567" w:right="567" w:bottom="142"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9B2C5" w14:textId="77777777" w:rsidR="00B428B3" w:rsidRDefault="00B428B3">
      <w:pPr>
        <w:spacing w:after="0" w:line="240" w:lineRule="auto"/>
      </w:pPr>
      <w:r>
        <w:separator/>
      </w:r>
    </w:p>
  </w:endnote>
  <w:endnote w:type="continuationSeparator" w:id="0">
    <w:p w14:paraId="57531109" w14:textId="77777777" w:rsidR="00B428B3" w:rsidRDefault="00B42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06A3E" w14:textId="77777777" w:rsidR="00B428B3" w:rsidRDefault="00B428B3">
      <w:pPr>
        <w:spacing w:after="0" w:line="240" w:lineRule="auto"/>
      </w:pPr>
      <w:r>
        <w:rPr>
          <w:color w:val="000000"/>
        </w:rPr>
        <w:separator/>
      </w:r>
    </w:p>
  </w:footnote>
  <w:footnote w:type="continuationSeparator" w:id="0">
    <w:p w14:paraId="2EF44448" w14:textId="77777777" w:rsidR="00B428B3" w:rsidRDefault="00B428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1727"/>
    <w:multiLevelType w:val="multilevel"/>
    <w:tmpl w:val="AF829348"/>
    <w:styleLink w:val="WWOutlineListStyle1"/>
    <w:lvl w:ilvl="0">
      <w:start w:val="1"/>
      <w:numFmt w:val="decimal"/>
      <w:lvlText w:val="%1."/>
      <w:lvlJc w:val="left"/>
      <w:pPr>
        <w:ind w:left="1872" w:hanging="432"/>
      </w:pPr>
    </w:lvl>
    <w:lvl w:ilvl="1">
      <w:start w:val="1"/>
      <w:numFmt w:val="none"/>
      <w:lvlText w:val="%2"/>
      <w:lvlJc w:val="left"/>
    </w:lvl>
    <w:lvl w:ilvl="2">
      <w:start w:val="1"/>
      <w:numFmt w:val="decimal"/>
      <w:lvlText w:val="%1.%2.%3."/>
      <w:lvlJc w:val="left"/>
      <w:pPr>
        <w:ind w:left="-152"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439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7704" w:hanging="1584"/>
      </w:pPr>
    </w:lvl>
  </w:abstractNum>
  <w:abstractNum w:abstractNumId="1" w15:restartNumberingAfterBreak="0">
    <w:nsid w:val="65C45939"/>
    <w:multiLevelType w:val="multilevel"/>
    <w:tmpl w:val="30929BF6"/>
    <w:styleLink w:val="WWOutlineListStyle"/>
    <w:lvl w:ilvl="0">
      <w:start w:val="1"/>
      <w:numFmt w:val="decimal"/>
      <w:lvlText w:val="%1."/>
      <w:lvlJc w:val="left"/>
      <w:pPr>
        <w:ind w:left="1872" w:hanging="432"/>
      </w:pPr>
    </w:lvl>
    <w:lvl w:ilvl="1">
      <w:start w:val="1"/>
      <w:numFmt w:val="none"/>
      <w:lvlText w:val="1.1%2"/>
      <w:lvlJc w:val="left"/>
      <w:pPr>
        <w:ind w:left="0" w:firstLine="720"/>
      </w:pPr>
      <w:rPr>
        <w:b w:val="0"/>
        <w:i w:val="0"/>
        <w:strike w:val="0"/>
        <w:dstrike w:val="0"/>
        <w:sz w:val="24"/>
        <w:szCs w:val="24"/>
      </w:rPr>
    </w:lvl>
    <w:lvl w:ilvl="2">
      <w:start w:val="1"/>
      <w:numFmt w:val="decimal"/>
      <w:lvlText w:val="%1.%2.%3."/>
      <w:lvlJc w:val="left"/>
      <w:pPr>
        <w:ind w:left="-152"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439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7704" w:hanging="1584"/>
      </w:pPr>
    </w:lvl>
  </w:abstractNum>
  <w:abstractNum w:abstractNumId="2" w15:restartNumberingAfterBreak="0">
    <w:nsid w:val="7A6368EC"/>
    <w:multiLevelType w:val="multilevel"/>
    <w:tmpl w:val="DAE4FFDA"/>
    <w:styleLink w:val="WWOutlineListStyle2"/>
    <w:lvl w:ilvl="0">
      <w:start w:val="1"/>
      <w:numFmt w:val="decimal"/>
      <w:pStyle w:val="Heading1"/>
      <w:lvlText w:val="%1."/>
      <w:lvlJc w:val="left"/>
      <w:pPr>
        <w:ind w:left="1872" w:hanging="432"/>
      </w:pPr>
    </w:lvl>
    <w:lvl w:ilvl="1">
      <w:start w:val="1"/>
      <w:numFmt w:val="none"/>
      <w:lvlText w:val="%2"/>
      <w:lvlJc w:val="left"/>
    </w:lvl>
    <w:lvl w:ilvl="2">
      <w:start w:val="1"/>
      <w:numFmt w:val="decimal"/>
      <w:pStyle w:val="Heading3"/>
      <w:lvlText w:val="%1.%2.%3."/>
      <w:lvlJc w:val="left"/>
      <w:pPr>
        <w:ind w:left="-152" w:firstLine="72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4392" w:hanging="1152"/>
      </w:pPr>
    </w:lvl>
    <w:lvl w:ilvl="6">
      <w:start w:val="1"/>
      <w:numFmt w:val="decimal"/>
      <w:pStyle w:val="Heading7"/>
      <w:lvlText w:val="%1.%2.%3.%4.%5.%6.%7"/>
      <w:lvlJc w:val="left"/>
      <w:pPr>
        <w:ind w:left="2016" w:hanging="1296"/>
      </w:pPr>
    </w:lvl>
    <w:lvl w:ilvl="7">
      <w:start w:val="1"/>
      <w:numFmt w:val="decimal"/>
      <w:pStyle w:val="Heading8"/>
      <w:lvlText w:val="%1.%2.%3.%4.%5.%6.%7.%8"/>
      <w:lvlJc w:val="left"/>
      <w:pPr>
        <w:ind w:left="2160" w:hanging="1440"/>
      </w:pPr>
    </w:lvl>
    <w:lvl w:ilvl="8">
      <w:start w:val="1"/>
      <w:numFmt w:val="decimal"/>
      <w:pStyle w:val="Heading9"/>
      <w:lvlText w:val="%1.%2.%3.%4.%5.%6.%7.%8.%9"/>
      <w:lvlJc w:val="left"/>
      <w:pPr>
        <w:ind w:left="7704" w:hanging="1584"/>
      </w:pPr>
    </w:lvl>
  </w:abstractNum>
  <w:num w:numId="1" w16cid:durableId="1078017345">
    <w:abstractNumId w:val="2"/>
  </w:num>
  <w:num w:numId="2" w16cid:durableId="2112360926">
    <w:abstractNumId w:val="0"/>
  </w:num>
  <w:num w:numId="3" w16cid:durableId="2008944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0FD"/>
    <w:rsid w:val="00006AF6"/>
    <w:rsid w:val="00051175"/>
    <w:rsid w:val="000634BB"/>
    <w:rsid w:val="00071718"/>
    <w:rsid w:val="00077FC9"/>
    <w:rsid w:val="000855DC"/>
    <w:rsid w:val="000A7E9E"/>
    <w:rsid w:val="000D1EC0"/>
    <w:rsid w:val="000D6CDE"/>
    <w:rsid w:val="000E1EED"/>
    <w:rsid w:val="00153BDA"/>
    <w:rsid w:val="001F12AA"/>
    <w:rsid w:val="00220EE6"/>
    <w:rsid w:val="00231257"/>
    <w:rsid w:val="00236721"/>
    <w:rsid w:val="00255E66"/>
    <w:rsid w:val="0027137F"/>
    <w:rsid w:val="00280DE3"/>
    <w:rsid w:val="00297F19"/>
    <w:rsid w:val="002A73DD"/>
    <w:rsid w:val="002F1493"/>
    <w:rsid w:val="003111D3"/>
    <w:rsid w:val="0034216F"/>
    <w:rsid w:val="003665D6"/>
    <w:rsid w:val="003720FD"/>
    <w:rsid w:val="00384942"/>
    <w:rsid w:val="003F40D5"/>
    <w:rsid w:val="004002D3"/>
    <w:rsid w:val="004253AB"/>
    <w:rsid w:val="004259AF"/>
    <w:rsid w:val="00440A45"/>
    <w:rsid w:val="0046016D"/>
    <w:rsid w:val="00461105"/>
    <w:rsid w:val="00486637"/>
    <w:rsid w:val="00493B42"/>
    <w:rsid w:val="004A7961"/>
    <w:rsid w:val="004A7E4B"/>
    <w:rsid w:val="004B7931"/>
    <w:rsid w:val="004E604B"/>
    <w:rsid w:val="004E76B8"/>
    <w:rsid w:val="005132D5"/>
    <w:rsid w:val="0054108A"/>
    <w:rsid w:val="00541DAB"/>
    <w:rsid w:val="005633E3"/>
    <w:rsid w:val="00595B1A"/>
    <w:rsid w:val="005A09E0"/>
    <w:rsid w:val="005A5DEC"/>
    <w:rsid w:val="005C5E2E"/>
    <w:rsid w:val="005E7331"/>
    <w:rsid w:val="005F4BCC"/>
    <w:rsid w:val="005F6FF8"/>
    <w:rsid w:val="0061605C"/>
    <w:rsid w:val="006372D2"/>
    <w:rsid w:val="0066755B"/>
    <w:rsid w:val="0069261B"/>
    <w:rsid w:val="006A30E5"/>
    <w:rsid w:val="006D5F27"/>
    <w:rsid w:val="006E7A75"/>
    <w:rsid w:val="00700E5B"/>
    <w:rsid w:val="0072205B"/>
    <w:rsid w:val="007328EA"/>
    <w:rsid w:val="00735E7F"/>
    <w:rsid w:val="00743F87"/>
    <w:rsid w:val="007964F0"/>
    <w:rsid w:val="007C0FAC"/>
    <w:rsid w:val="007D3506"/>
    <w:rsid w:val="007D7C0E"/>
    <w:rsid w:val="007E44B3"/>
    <w:rsid w:val="007F121E"/>
    <w:rsid w:val="0084241D"/>
    <w:rsid w:val="00864C90"/>
    <w:rsid w:val="00874DD0"/>
    <w:rsid w:val="008A190B"/>
    <w:rsid w:val="008A4CF3"/>
    <w:rsid w:val="008B7A9C"/>
    <w:rsid w:val="008E1F3F"/>
    <w:rsid w:val="00916887"/>
    <w:rsid w:val="00990B8F"/>
    <w:rsid w:val="009C413F"/>
    <w:rsid w:val="009D7DA4"/>
    <w:rsid w:val="009F0F2B"/>
    <w:rsid w:val="009F561F"/>
    <w:rsid w:val="00A013D4"/>
    <w:rsid w:val="00A306AD"/>
    <w:rsid w:val="00A52006"/>
    <w:rsid w:val="00A62394"/>
    <w:rsid w:val="00AF10E8"/>
    <w:rsid w:val="00AF5134"/>
    <w:rsid w:val="00B01BE5"/>
    <w:rsid w:val="00B06A36"/>
    <w:rsid w:val="00B21CFE"/>
    <w:rsid w:val="00B30707"/>
    <w:rsid w:val="00B30AB2"/>
    <w:rsid w:val="00B31CE7"/>
    <w:rsid w:val="00B32F65"/>
    <w:rsid w:val="00B351DC"/>
    <w:rsid w:val="00B421E3"/>
    <w:rsid w:val="00B428B3"/>
    <w:rsid w:val="00B433C5"/>
    <w:rsid w:val="00B56651"/>
    <w:rsid w:val="00BA0730"/>
    <w:rsid w:val="00BB3396"/>
    <w:rsid w:val="00BE7918"/>
    <w:rsid w:val="00BF1F2C"/>
    <w:rsid w:val="00C024ED"/>
    <w:rsid w:val="00C569FB"/>
    <w:rsid w:val="00C65636"/>
    <w:rsid w:val="00C84749"/>
    <w:rsid w:val="00CC0D69"/>
    <w:rsid w:val="00CF3431"/>
    <w:rsid w:val="00CF5BC7"/>
    <w:rsid w:val="00D2379E"/>
    <w:rsid w:val="00D31C6A"/>
    <w:rsid w:val="00D50145"/>
    <w:rsid w:val="00D6189C"/>
    <w:rsid w:val="00D62C40"/>
    <w:rsid w:val="00D9504E"/>
    <w:rsid w:val="00DC03F1"/>
    <w:rsid w:val="00DC1B50"/>
    <w:rsid w:val="00DF306B"/>
    <w:rsid w:val="00DF3D18"/>
    <w:rsid w:val="00E02567"/>
    <w:rsid w:val="00E13829"/>
    <w:rsid w:val="00E60981"/>
    <w:rsid w:val="00E63C7A"/>
    <w:rsid w:val="00EA677C"/>
    <w:rsid w:val="00EC1DA8"/>
    <w:rsid w:val="00F010AB"/>
    <w:rsid w:val="00F26076"/>
    <w:rsid w:val="00F35C32"/>
    <w:rsid w:val="00F3626E"/>
    <w:rsid w:val="00F52863"/>
    <w:rsid w:val="00F66928"/>
    <w:rsid w:val="00F70A7E"/>
    <w:rsid w:val="00F72FDA"/>
    <w:rsid w:val="00F9234B"/>
    <w:rsid w:val="00F954E1"/>
    <w:rsid w:val="00FD5E82"/>
    <w:rsid w:val="00FD7C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60E71"/>
  <w15:docId w15:val="{5C6E746D-7E23-4493-A48F-35A5ED97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lt-LT"/>
    </w:rPr>
  </w:style>
  <w:style w:type="paragraph" w:styleId="Heading1">
    <w:name w:val="heading 1"/>
    <w:basedOn w:val="Normal"/>
    <w:next w:val="Normal"/>
    <w:uiPriority w:val="9"/>
    <w:qFormat/>
    <w:pPr>
      <w:keepNext/>
      <w:numPr>
        <w:numId w:val="1"/>
      </w:numPr>
      <w:spacing w:before="360" w:after="360" w:line="240" w:lineRule="auto"/>
      <w:jc w:val="center"/>
      <w:outlineLvl w:val="0"/>
    </w:pPr>
    <w:rPr>
      <w:rFonts w:ascii="Times New Roman" w:eastAsia="Times New Roman" w:hAnsi="Times New Roman"/>
      <w:sz w:val="28"/>
      <w:szCs w:val="20"/>
      <w:lang w:eastAsia="lt-LT"/>
    </w:rPr>
  </w:style>
  <w:style w:type="paragraph" w:styleId="Heading2">
    <w:name w:val="heading 2"/>
    <w:basedOn w:val="Normal"/>
    <w:next w:val="Normal"/>
    <w:uiPriority w:val="9"/>
    <w:semiHidden/>
    <w:unhideWhenUsed/>
    <w:qFormat/>
    <w:pPr>
      <w:spacing w:after="0" w:line="240" w:lineRule="auto"/>
      <w:jc w:val="both"/>
      <w:outlineLvl w:val="1"/>
    </w:pPr>
    <w:rPr>
      <w:rFonts w:ascii="Times New Roman" w:eastAsia="Times New Roman" w:hAnsi="Times New Roman"/>
      <w:sz w:val="24"/>
      <w:szCs w:val="20"/>
      <w:lang w:eastAsia="lt-LT"/>
    </w:rPr>
  </w:style>
  <w:style w:type="paragraph" w:styleId="Heading3">
    <w:name w:val="heading 3"/>
    <w:basedOn w:val="Normal"/>
    <w:next w:val="Normal"/>
    <w:uiPriority w:val="9"/>
    <w:semiHidden/>
    <w:unhideWhenUsed/>
    <w:qFormat/>
    <w:pPr>
      <w:keepNext/>
      <w:numPr>
        <w:ilvl w:val="2"/>
        <w:numId w:val="1"/>
      </w:numPr>
      <w:spacing w:after="0" w:line="240" w:lineRule="auto"/>
      <w:jc w:val="both"/>
      <w:outlineLvl w:val="2"/>
    </w:pPr>
    <w:rPr>
      <w:rFonts w:ascii="Times New Roman" w:eastAsia="Times New Roman" w:hAnsi="Times New Roman"/>
      <w:sz w:val="24"/>
      <w:szCs w:val="20"/>
      <w:lang w:eastAsia="lt-LT"/>
    </w:rPr>
  </w:style>
  <w:style w:type="paragraph" w:styleId="Heading4">
    <w:name w:val="heading 4"/>
    <w:basedOn w:val="Normal"/>
    <w:next w:val="Normal"/>
    <w:uiPriority w:val="9"/>
    <w:semiHidden/>
    <w:unhideWhenUsed/>
    <w:qFormat/>
    <w:pPr>
      <w:keepNext/>
      <w:numPr>
        <w:ilvl w:val="3"/>
        <w:numId w:val="1"/>
      </w:numPr>
      <w:spacing w:after="0" w:line="240" w:lineRule="auto"/>
      <w:outlineLvl w:val="3"/>
    </w:pPr>
    <w:rPr>
      <w:rFonts w:ascii="Times New Roman" w:eastAsia="Times New Roman" w:hAnsi="Times New Roman"/>
      <w:b/>
      <w:sz w:val="44"/>
      <w:szCs w:val="20"/>
      <w:lang w:eastAsia="lt-LT"/>
    </w:rPr>
  </w:style>
  <w:style w:type="paragraph" w:styleId="Heading5">
    <w:name w:val="heading 5"/>
    <w:basedOn w:val="Normal"/>
    <w:next w:val="Normal"/>
    <w:uiPriority w:val="9"/>
    <w:semiHidden/>
    <w:unhideWhenUsed/>
    <w:qFormat/>
    <w:pPr>
      <w:keepNext/>
      <w:numPr>
        <w:ilvl w:val="4"/>
        <w:numId w:val="1"/>
      </w:numPr>
      <w:spacing w:after="0" w:line="240" w:lineRule="auto"/>
      <w:outlineLvl w:val="4"/>
    </w:pPr>
    <w:rPr>
      <w:rFonts w:ascii="Times New Roman" w:eastAsia="Times New Roman" w:hAnsi="Times New Roman"/>
      <w:b/>
      <w:sz w:val="40"/>
      <w:szCs w:val="20"/>
      <w:lang w:eastAsia="lt-LT"/>
    </w:rPr>
  </w:style>
  <w:style w:type="paragraph" w:styleId="Heading6">
    <w:name w:val="heading 6"/>
    <w:basedOn w:val="Normal"/>
    <w:next w:val="Normal"/>
    <w:uiPriority w:val="9"/>
    <w:semiHidden/>
    <w:unhideWhenUsed/>
    <w:qFormat/>
    <w:pPr>
      <w:keepNext/>
      <w:numPr>
        <w:ilvl w:val="5"/>
        <w:numId w:val="1"/>
      </w:numPr>
      <w:spacing w:after="0" w:line="240" w:lineRule="auto"/>
      <w:outlineLvl w:val="5"/>
    </w:pPr>
    <w:rPr>
      <w:rFonts w:ascii="Times New Roman" w:eastAsia="Times New Roman" w:hAnsi="Times New Roman"/>
      <w:b/>
      <w:sz w:val="36"/>
      <w:szCs w:val="20"/>
      <w:lang w:eastAsia="lt-LT"/>
    </w:rPr>
  </w:style>
  <w:style w:type="paragraph" w:styleId="Heading7">
    <w:name w:val="heading 7"/>
    <w:basedOn w:val="Normal"/>
    <w:next w:val="Normal"/>
    <w:pPr>
      <w:keepNext/>
      <w:numPr>
        <w:ilvl w:val="6"/>
        <w:numId w:val="1"/>
      </w:numPr>
      <w:spacing w:after="0" w:line="240" w:lineRule="auto"/>
      <w:outlineLvl w:val="6"/>
    </w:pPr>
    <w:rPr>
      <w:rFonts w:ascii="Times New Roman" w:eastAsia="Times New Roman" w:hAnsi="Times New Roman"/>
      <w:sz w:val="48"/>
      <w:szCs w:val="20"/>
      <w:lang w:eastAsia="lt-LT"/>
    </w:rPr>
  </w:style>
  <w:style w:type="paragraph" w:styleId="Heading8">
    <w:name w:val="heading 8"/>
    <w:basedOn w:val="Normal"/>
    <w:next w:val="Normal"/>
    <w:pPr>
      <w:keepNext/>
      <w:numPr>
        <w:ilvl w:val="7"/>
        <w:numId w:val="1"/>
      </w:numPr>
      <w:spacing w:after="0" w:line="240" w:lineRule="auto"/>
      <w:outlineLvl w:val="7"/>
    </w:pPr>
    <w:rPr>
      <w:rFonts w:ascii="Times New Roman" w:eastAsia="Times New Roman" w:hAnsi="Times New Roman"/>
      <w:b/>
      <w:sz w:val="18"/>
      <w:szCs w:val="20"/>
      <w:lang w:eastAsia="lt-LT"/>
    </w:rPr>
  </w:style>
  <w:style w:type="paragraph" w:styleId="Heading9">
    <w:name w:val="heading 9"/>
    <w:basedOn w:val="Normal"/>
    <w:next w:val="Normal"/>
    <w:pPr>
      <w:keepNext/>
      <w:numPr>
        <w:ilvl w:val="8"/>
        <w:numId w:val="1"/>
      </w:numPr>
      <w:spacing w:after="0" w:line="240" w:lineRule="auto"/>
      <w:outlineLvl w:val="8"/>
    </w:pPr>
    <w:rPr>
      <w:rFonts w:ascii="Times New Roman" w:eastAsia="Times New Roman" w:hAnsi="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2">
    <w:name w:val="WW_OutlineListStyle_2"/>
    <w:basedOn w:val="NoList"/>
    <w:pPr>
      <w:numPr>
        <w:numId w:val="1"/>
      </w:numPr>
    </w:pPr>
  </w:style>
  <w:style w:type="character" w:customStyle="1" w:styleId="Heading1Char">
    <w:name w:val="Heading 1 Char"/>
    <w:basedOn w:val="DefaultParagraphFont"/>
    <w:rPr>
      <w:rFonts w:ascii="Times New Roman" w:eastAsia="Times New Roman" w:hAnsi="Times New Roman" w:cs="Times New Roman"/>
      <w:sz w:val="28"/>
      <w:szCs w:val="20"/>
      <w:lang w:val="lt-LT" w:eastAsia="lt-LT"/>
    </w:rPr>
  </w:style>
  <w:style w:type="character" w:customStyle="1" w:styleId="Heading2Char">
    <w:name w:val="Heading 2 Char"/>
    <w:basedOn w:val="DefaultParagraphFont"/>
    <w:rPr>
      <w:rFonts w:ascii="Times New Roman" w:eastAsia="Times New Roman" w:hAnsi="Times New Roman" w:cs="Times New Roman"/>
      <w:sz w:val="24"/>
      <w:szCs w:val="20"/>
      <w:lang w:val="lt-LT" w:eastAsia="lt-LT"/>
    </w:rPr>
  </w:style>
  <w:style w:type="character" w:customStyle="1" w:styleId="Heading3Char">
    <w:name w:val="Heading 3 Char"/>
    <w:basedOn w:val="DefaultParagraphFont"/>
    <w:rPr>
      <w:rFonts w:ascii="Times New Roman" w:eastAsia="Times New Roman" w:hAnsi="Times New Roman" w:cs="Times New Roman"/>
      <w:sz w:val="24"/>
      <w:szCs w:val="20"/>
      <w:lang w:val="lt-LT" w:eastAsia="lt-LT"/>
    </w:rPr>
  </w:style>
  <w:style w:type="character" w:customStyle="1" w:styleId="Heading4Char">
    <w:name w:val="Heading 4 Char"/>
    <w:basedOn w:val="DefaultParagraphFont"/>
    <w:rPr>
      <w:rFonts w:ascii="Times New Roman" w:eastAsia="Times New Roman" w:hAnsi="Times New Roman" w:cs="Times New Roman"/>
      <w:b/>
      <w:sz w:val="44"/>
      <w:szCs w:val="20"/>
      <w:lang w:val="lt-LT" w:eastAsia="lt-LT"/>
    </w:rPr>
  </w:style>
  <w:style w:type="character" w:customStyle="1" w:styleId="Heading5Char">
    <w:name w:val="Heading 5 Char"/>
    <w:basedOn w:val="DefaultParagraphFont"/>
    <w:rPr>
      <w:rFonts w:ascii="Times New Roman" w:eastAsia="Times New Roman" w:hAnsi="Times New Roman" w:cs="Times New Roman"/>
      <w:b/>
      <w:sz w:val="40"/>
      <w:szCs w:val="20"/>
      <w:lang w:val="lt-LT" w:eastAsia="lt-LT"/>
    </w:rPr>
  </w:style>
  <w:style w:type="character" w:customStyle="1" w:styleId="Heading6Char">
    <w:name w:val="Heading 6 Char"/>
    <w:basedOn w:val="DefaultParagraphFont"/>
    <w:rPr>
      <w:rFonts w:ascii="Times New Roman" w:eastAsia="Times New Roman" w:hAnsi="Times New Roman" w:cs="Times New Roman"/>
      <w:b/>
      <w:sz w:val="36"/>
      <w:szCs w:val="20"/>
      <w:lang w:val="lt-LT" w:eastAsia="lt-LT"/>
    </w:rPr>
  </w:style>
  <w:style w:type="character" w:customStyle="1" w:styleId="Heading7Char">
    <w:name w:val="Heading 7 Char"/>
    <w:basedOn w:val="DefaultParagraphFont"/>
    <w:rPr>
      <w:rFonts w:ascii="Times New Roman" w:eastAsia="Times New Roman" w:hAnsi="Times New Roman" w:cs="Times New Roman"/>
      <w:sz w:val="48"/>
      <w:szCs w:val="20"/>
      <w:lang w:val="lt-LT" w:eastAsia="lt-LT"/>
    </w:rPr>
  </w:style>
  <w:style w:type="character" w:customStyle="1" w:styleId="Heading8Char">
    <w:name w:val="Heading 8 Char"/>
    <w:basedOn w:val="DefaultParagraphFont"/>
    <w:rPr>
      <w:rFonts w:ascii="Times New Roman" w:eastAsia="Times New Roman" w:hAnsi="Times New Roman" w:cs="Times New Roman"/>
      <w:b/>
      <w:sz w:val="18"/>
      <w:szCs w:val="20"/>
      <w:lang w:val="lt-LT" w:eastAsia="lt-LT"/>
    </w:rPr>
  </w:style>
  <w:style w:type="character" w:customStyle="1" w:styleId="Heading9Char">
    <w:name w:val="Heading 9 Char"/>
    <w:basedOn w:val="DefaultParagraphFont"/>
    <w:rPr>
      <w:rFonts w:ascii="Times New Roman" w:eastAsia="Times New Roman" w:hAnsi="Times New Roman" w:cs="Times New Roman"/>
      <w:sz w:val="40"/>
      <w:szCs w:val="20"/>
      <w:lang w:val="lt-LT" w:eastAsia="lt-LT"/>
    </w:rPr>
  </w:style>
  <w:style w:type="paragraph" w:styleId="ListParagraph">
    <w:name w:val="List Paragraph"/>
    <w:basedOn w:val="Normal"/>
    <w:pPr>
      <w:ind w:left="720"/>
    </w:pPr>
  </w:style>
  <w:style w:type="numbering" w:customStyle="1" w:styleId="WWOutlineListStyle1">
    <w:name w:val="WW_OutlineListStyle_1"/>
    <w:basedOn w:val="NoList"/>
    <w:pPr>
      <w:numPr>
        <w:numId w:val="2"/>
      </w:numPr>
    </w:pPr>
  </w:style>
  <w:style w:type="numbering" w:customStyle="1" w:styleId="WWOutlineListStyle">
    <w:name w:val="WW_OutlineListStyle"/>
    <w:basedOn w:val="NoList"/>
    <w:pPr>
      <w:numPr>
        <w:numId w:val="3"/>
      </w:numPr>
    </w:pPr>
  </w:style>
  <w:style w:type="paragraph" w:styleId="Revision">
    <w:name w:val="Revision"/>
    <w:hidden/>
    <w:uiPriority w:val="99"/>
    <w:semiHidden/>
    <w:rsid w:val="00384942"/>
    <w:pPr>
      <w:autoSpaceDN/>
      <w:spacing w:after="0" w:line="240" w:lineRule="auto"/>
      <w:textAlignment w:val="auto"/>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22F85-EB94-437D-892E-A82B32BB6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SAULE</dc:creator>
  <dc:description/>
  <cp:lastModifiedBy>Vitalija  Kraučelienė</cp:lastModifiedBy>
  <cp:revision>5</cp:revision>
  <cp:lastPrinted>2019-03-18T08:27:00Z</cp:lastPrinted>
  <dcterms:created xsi:type="dcterms:W3CDTF">2026-10-05T07:08:00Z</dcterms:created>
  <dcterms:modified xsi:type="dcterms:W3CDTF">2026-10-05T07:23:00Z</dcterms:modified>
</cp:coreProperties>
</file>