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E5FEB" w14:textId="77777777" w:rsidR="003535CB" w:rsidRPr="00342263" w:rsidRDefault="003535CB">
      <w:pPr>
        <w:rPr>
          <w:rFonts w:ascii="Times New Roman" w:hAnsi="Times New Roman"/>
          <w:sz w:val="24"/>
          <w:szCs w:val="24"/>
        </w:rPr>
      </w:pPr>
      <w:bookmarkStart w:id="0" w:name="_GoBack"/>
      <w:bookmarkEnd w:id="0"/>
    </w:p>
    <w:p w14:paraId="29CEEFAD" w14:textId="58A7E096" w:rsidR="003535CB" w:rsidRPr="00342263" w:rsidRDefault="003535CB" w:rsidP="003535CB">
      <w:pPr>
        <w:spacing w:after="0" w:line="360" w:lineRule="auto"/>
        <w:jc w:val="center"/>
        <w:rPr>
          <w:rFonts w:ascii="Times New Roman" w:hAnsi="Times New Roman"/>
          <w:sz w:val="24"/>
          <w:szCs w:val="24"/>
        </w:rPr>
      </w:pPr>
      <w:r w:rsidRPr="00342263">
        <w:rPr>
          <w:rFonts w:ascii="Times New Roman" w:hAnsi="Times New Roman"/>
          <w:sz w:val="24"/>
          <w:szCs w:val="24"/>
        </w:rPr>
        <w:t>TECHNINĖ SPECIFIKACIJA</w:t>
      </w:r>
    </w:p>
    <w:p w14:paraId="47794C68" w14:textId="77777777" w:rsidR="001D1386" w:rsidRPr="00342263" w:rsidRDefault="001D1386" w:rsidP="003535CB">
      <w:pPr>
        <w:spacing w:after="0" w:line="360" w:lineRule="auto"/>
        <w:jc w:val="both"/>
        <w:rPr>
          <w:rFonts w:ascii="Times New Roman" w:hAnsi="Times New Roman"/>
          <w:sz w:val="24"/>
          <w:szCs w:val="24"/>
        </w:rPr>
      </w:pPr>
    </w:p>
    <w:p w14:paraId="18430351" w14:textId="77777777" w:rsidR="001D1386" w:rsidRPr="00342263" w:rsidRDefault="001D1386"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Maksimali įrangos kaina 45000 Eur su PVM. </w:t>
      </w:r>
    </w:p>
    <w:p w14:paraId="384FDEFB" w14:textId="50FF0AAD" w:rsidR="003535CB" w:rsidRPr="00342263" w:rsidRDefault="001D1386"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Įrangos pristatymo terminas ne vėliau kaip 2026-12-15 d.  </w:t>
      </w:r>
    </w:p>
    <w:p w14:paraId="63495EA5" w14:textId="7AAE7D4C" w:rsidR="001D1386" w:rsidRPr="00342263" w:rsidRDefault="001D1386" w:rsidP="003535CB">
      <w:pPr>
        <w:spacing w:after="0" w:line="360" w:lineRule="auto"/>
        <w:jc w:val="both"/>
        <w:rPr>
          <w:rFonts w:ascii="Times New Roman" w:hAnsi="Times New Roman"/>
          <w:sz w:val="24"/>
          <w:szCs w:val="24"/>
        </w:rPr>
      </w:pPr>
      <w:r w:rsidRPr="00342263">
        <w:rPr>
          <w:rFonts w:ascii="Times New Roman" w:hAnsi="Times New Roman"/>
          <w:sz w:val="24"/>
          <w:szCs w:val="24"/>
        </w:rPr>
        <w:t>Įrangos pristatymo vieta: Panerių g. 26, Vilnius.</w:t>
      </w:r>
    </w:p>
    <w:p w14:paraId="49B3C055" w14:textId="1857CB5D" w:rsidR="003535CB" w:rsidRPr="00342263" w:rsidRDefault="003535CB" w:rsidP="003535CB">
      <w:pPr>
        <w:spacing w:after="0" w:line="360" w:lineRule="auto"/>
        <w:ind w:firstLine="567"/>
        <w:jc w:val="both"/>
        <w:rPr>
          <w:rFonts w:ascii="Times New Roman" w:hAnsi="Times New Roman"/>
          <w:sz w:val="24"/>
          <w:szCs w:val="24"/>
        </w:rPr>
      </w:pPr>
      <w:r w:rsidRPr="00342263">
        <w:rPr>
          <w:rFonts w:ascii="Times New Roman" w:hAnsi="Times New Roman"/>
          <w:sz w:val="24"/>
          <w:szCs w:val="24"/>
        </w:rPr>
        <w:t>Furjė transformacijos infraraudonųjų spindulių (FT-IR) spektrometras, skirtas organinių bei neorganinių skystų ir kietų medžiagų identifikavimui, kiekybinių analizės metodų kūrimui bei restauravimo medžiagų tyrimams atlikti.</w:t>
      </w:r>
      <w:r w:rsidR="001D1386" w:rsidRPr="00342263">
        <w:rPr>
          <w:rFonts w:ascii="Times New Roman" w:hAnsi="Times New Roman"/>
          <w:sz w:val="24"/>
          <w:szCs w:val="24"/>
        </w:rPr>
        <w:t xml:space="preserve"> </w:t>
      </w:r>
    </w:p>
    <w:p w14:paraId="4C7804F0" w14:textId="77777777" w:rsidR="003535CB" w:rsidRPr="00342263" w:rsidRDefault="003535CB" w:rsidP="003535CB">
      <w:pPr>
        <w:spacing w:after="0" w:line="360" w:lineRule="auto"/>
        <w:jc w:val="both"/>
        <w:rPr>
          <w:rFonts w:ascii="Times New Roman" w:hAnsi="Times New Roman"/>
          <w:sz w:val="24"/>
          <w:szCs w:val="24"/>
        </w:rPr>
      </w:pPr>
    </w:p>
    <w:p w14:paraId="5DA29C55" w14:textId="55EC4723" w:rsidR="003535CB" w:rsidRPr="00342263" w:rsidRDefault="003535CB" w:rsidP="003535CB">
      <w:pPr>
        <w:spacing w:after="0" w:line="360" w:lineRule="auto"/>
        <w:ind w:firstLine="567"/>
        <w:jc w:val="both"/>
        <w:rPr>
          <w:rFonts w:ascii="Times New Roman" w:hAnsi="Times New Roman"/>
          <w:sz w:val="24"/>
          <w:szCs w:val="24"/>
        </w:rPr>
      </w:pPr>
      <w:r w:rsidRPr="00342263">
        <w:rPr>
          <w:rFonts w:ascii="Times New Roman" w:hAnsi="Times New Roman"/>
          <w:sz w:val="24"/>
          <w:szCs w:val="24"/>
        </w:rPr>
        <w:t>Sistemos komplektacija:</w:t>
      </w:r>
    </w:p>
    <w:p w14:paraId="170B4A12" w14:textId="6D6664F7" w:rsidR="003535CB" w:rsidRPr="00342263" w:rsidRDefault="003535CB"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Spektrometras turi būti kompaktiškos modulinės architektūros (sudarytas iš pagrindinio optinio bloko ir lengvai keičiamų matavimo modulių), užtikrinantis automatinį prijungtų modulių elektroninį atpažinimą (be naudotojo įsikišimo) bei parametrų sukalibravimą. </w:t>
      </w:r>
    </w:p>
    <w:p w14:paraId="3ED71F97" w14:textId="77777777" w:rsidR="00DE5C28" w:rsidRPr="00342263" w:rsidRDefault="00DE5C28" w:rsidP="003535CB">
      <w:pPr>
        <w:spacing w:after="0" w:line="360" w:lineRule="auto"/>
        <w:jc w:val="both"/>
        <w:rPr>
          <w:rFonts w:ascii="Times New Roman" w:hAnsi="Times New Roman"/>
          <w:sz w:val="24"/>
          <w:szCs w:val="24"/>
        </w:rPr>
      </w:pPr>
    </w:p>
    <w:tbl>
      <w:tblPr>
        <w:tblStyle w:val="TableGrid"/>
        <w:tblW w:w="0" w:type="auto"/>
        <w:tblLook w:val="04A0" w:firstRow="1" w:lastRow="0" w:firstColumn="1" w:lastColumn="0" w:noHBand="0" w:noVBand="1"/>
      </w:tblPr>
      <w:tblGrid>
        <w:gridCol w:w="3681"/>
        <w:gridCol w:w="5947"/>
      </w:tblGrid>
      <w:tr w:rsidR="00DE5C28" w:rsidRPr="00342263" w14:paraId="3287F720" w14:textId="77777777" w:rsidTr="0080696B">
        <w:tc>
          <w:tcPr>
            <w:tcW w:w="3681" w:type="dxa"/>
          </w:tcPr>
          <w:p w14:paraId="526B4E20" w14:textId="3E9D7B15" w:rsidR="00DE5C28" w:rsidRPr="00342263" w:rsidRDefault="00DE5C28"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Spektrinė sritis </w:t>
            </w:r>
          </w:p>
        </w:tc>
        <w:tc>
          <w:tcPr>
            <w:tcW w:w="5947" w:type="dxa"/>
          </w:tcPr>
          <w:p w14:paraId="79A10D4B" w14:textId="4936DD6A" w:rsidR="00DE5C28" w:rsidRPr="00342263" w:rsidRDefault="00DE5C28" w:rsidP="003535CB">
            <w:pPr>
              <w:spacing w:after="0" w:line="360" w:lineRule="auto"/>
              <w:jc w:val="both"/>
              <w:rPr>
                <w:rFonts w:ascii="Times New Roman" w:hAnsi="Times New Roman"/>
                <w:sz w:val="24"/>
                <w:szCs w:val="24"/>
              </w:rPr>
            </w:pPr>
            <w:r w:rsidRPr="00342263">
              <w:rPr>
                <w:rFonts w:ascii="Times New Roman" w:hAnsi="Times New Roman"/>
                <w:sz w:val="24"/>
                <w:szCs w:val="24"/>
              </w:rPr>
              <w:t>Ne mažesnė kaip 8000 – 350 cm-1 naudojant kalio bromido (KBr) daliklį ir KBr langelius.</w:t>
            </w:r>
          </w:p>
        </w:tc>
      </w:tr>
      <w:tr w:rsidR="00DE5C28" w:rsidRPr="00342263" w14:paraId="30DC0F24" w14:textId="77777777" w:rsidTr="0080696B">
        <w:tc>
          <w:tcPr>
            <w:tcW w:w="3681" w:type="dxa"/>
          </w:tcPr>
          <w:p w14:paraId="56C4E6D3" w14:textId="63047A1F" w:rsidR="00DE5C28" w:rsidRPr="00342263" w:rsidRDefault="00DE5C28" w:rsidP="003535CB">
            <w:pPr>
              <w:spacing w:after="0" w:line="360" w:lineRule="auto"/>
              <w:jc w:val="both"/>
              <w:rPr>
                <w:rFonts w:ascii="Times New Roman" w:hAnsi="Times New Roman"/>
                <w:sz w:val="24"/>
                <w:szCs w:val="24"/>
              </w:rPr>
            </w:pPr>
            <w:r w:rsidRPr="00342263">
              <w:rPr>
                <w:rFonts w:ascii="Times New Roman" w:hAnsi="Times New Roman"/>
                <w:sz w:val="24"/>
                <w:szCs w:val="24"/>
              </w:rPr>
              <w:t>Skiriamoji geba</w:t>
            </w:r>
          </w:p>
        </w:tc>
        <w:tc>
          <w:tcPr>
            <w:tcW w:w="5947" w:type="dxa"/>
          </w:tcPr>
          <w:p w14:paraId="5AD823A3" w14:textId="5BB217B2" w:rsidR="00DE5C28" w:rsidRPr="00342263" w:rsidRDefault="00DE5C28" w:rsidP="003535CB">
            <w:pPr>
              <w:spacing w:after="0" w:line="360" w:lineRule="auto"/>
              <w:jc w:val="both"/>
              <w:rPr>
                <w:rFonts w:ascii="Times New Roman" w:hAnsi="Times New Roman"/>
                <w:sz w:val="24"/>
                <w:szCs w:val="24"/>
              </w:rPr>
            </w:pPr>
            <w:r w:rsidRPr="00342263">
              <w:rPr>
                <w:rFonts w:ascii="Times New Roman" w:hAnsi="Times New Roman"/>
                <w:sz w:val="24"/>
                <w:szCs w:val="24"/>
              </w:rPr>
              <w:t>Laisvai pasirenkama skiriamoji geba iki ne prastesnės nei 2 cm</w:t>
            </w:r>
            <w:r w:rsidRPr="00342263">
              <w:rPr>
                <w:rFonts w:ascii="Times New Roman" w:hAnsi="Times New Roman"/>
                <w:sz w:val="24"/>
                <w:szCs w:val="24"/>
                <w:vertAlign w:val="superscript"/>
              </w:rPr>
              <w:t>-1</w:t>
            </w:r>
            <w:r w:rsidRPr="00342263">
              <w:rPr>
                <w:rFonts w:ascii="Times New Roman" w:hAnsi="Times New Roman"/>
                <w:sz w:val="24"/>
                <w:szCs w:val="24"/>
              </w:rPr>
              <w:t>, su galimybe pagerinti skiriamąją gebą iki ne blogesnės nei 1 cm</w:t>
            </w:r>
            <w:r w:rsidRPr="00342263">
              <w:rPr>
                <w:rFonts w:ascii="Times New Roman" w:hAnsi="Times New Roman"/>
                <w:sz w:val="24"/>
                <w:szCs w:val="24"/>
                <w:vertAlign w:val="superscript"/>
              </w:rPr>
              <w:t>-1</w:t>
            </w:r>
            <w:r w:rsidRPr="00342263">
              <w:rPr>
                <w:rFonts w:ascii="Times New Roman" w:hAnsi="Times New Roman"/>
                <w:sz w:val="24"/>
                <w:szCs w:val="24"/>
              </w:rPr>
              <w:t>.</w:t>
            </w:r>
          </w:p>
        </w:tc>
      </w:tr>
      <w:tr w:rsidR="00DE5C28" w:rsidRPr="00342263" w14:paraId="5E3006A2" w14:textId="77777777" w:rsidTr="0080696B">
        <w:tc>
          <w:tcPr>
            <w:tcW w:w="3681" w:type="dxa"/>
          </w:tcPr>
          <w:p w14:paraId="2675901B" w14:textId="7C561C33"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Bangos skaičiaus tikslumas</w:t>
            </w:r>
          </w:p>
        </w:tc>
        <w:tc>
          <w:tcPr>
            <w:tcW w:w="5947" w:type="dxa"/>
          </w:tcPr>
          <w:p w14:paraId="07262A43" w14:textId="3F72FF58"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Geresnis nei 0,05 cm</w:t>
            </w:r>
            <w:r w:rsidRPr="00342263">
              <w:rPr>
                <w:rFonts w:ascii="Times New Roman" w:hAnsi="Times New Roman"/>
                <w:sz w:val="24"/>
                <w:szCs w:val="24"/>
                <w:vertAlign w:val="superscript"/>
              </w:rPr>
              <w:t>-1</w:t>
            </w:r>
            <w:r w:rsidRPr="00342263">
              <w:rPr>
                <w:rFonts w:ascii="Times New Roman" w:hAnsi="Times New Roman"/>
                <w:sz w:val="24"/>
                <w:szCs w:val="24"/>
              </w:rPr>
              <w:t xml:space="preserve"> pasirinktame taške spektriniame diapazone prie 1500 cm</w:t>
            </w:r>
            <w:r w:rsidRPr="00342263">
              <w:rPr>
                <w:rFonts w:ascii="Times New Roman" w:hAnsi="Times New Roman"/>
                <w:sz w:val="24"/>
                <w:szCs w:val="24"/>
                <w:vertAlign w:val="superscript"/>
              </w:rPr>
              <w:t>-1</w:t>
            </w:r>
            <w:r w:rsidRPr="00342263">
              <w:rPr>
                <w:rFonts w:ascii="Times New Roman" w:hAnsi="Times New Roman"/>
                <w:sz w:val="24"/>
                <w:szCs w:val="24"/>
              </w:rPr>
              <w:t xml:space="preserve"> ± 100 cm</w:t>
            </w:r>
            <w:r w:rsidRPr="00342263">
              <w:rPr>
                <w:rFonts w:ascii="Times New Roman" w:hAnsi="Times New Roman"/>
                <w:sz w:val="24"/>
                <w:szCs w:val="24"/>
                <w:vertAlign w:val="superscript"/>
              </w:rPr>
              <w:t>-1</w:t>
            </w:r>
            <w:r w:rsidRPr="00342263">
              <w:rPr>
                <w:rFonts w:ascii="Times New Roman" w:hAnsi="Times New Roman"/>
                <w:sz w:val="24"/>
                <w:szCs w:val="24"/>
              </w:rPr>
              <w:t xml:space="preserve">. </w:t>
            </w:r>
          </w:p>
        </w:tc>
      </w:tr>
      <w:tr w:rsidR="00DE5C28" w:rsidRPr="00342263" w14:paraId="7D110E20" w14:textId="77777777" w:rsidTr="0080696B">
        <w:tc>
          <w:tcPr>
            <w:tcW w:w="3681" w:type="dxa"/>
          </w:tcPr>
          <w:p w14:paraId="7E5C0521" w14:textId="4FB783DC"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Bangos skaičiaus atsikartojamumas</w:t>
            </w:r>
          </w:p>
        </w:tc>
        <w:tc>
          <w:tcPr>
            <w:tcW w:w="5947" w:type="dxa"/>
          </w:tcPr>
          <w:p w14:paraId="2B3DCDE8" w14:textId="2EC86AD1"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Geresnis nei 0,0005 cm</w:t>
            </w:r>
            <w:r w:rsidRPr="00342263">
              <w:rPr>
                <w:rFonts w:ascii="Times New Roman" w:hAnsi="Times New Roman"/>
                <w:sz w:val="24"/>
                <w:szCs w:val="24"/>
                <w:vertAlign w:val="superscript"/>
              </w:rPr>
              <w:t>-1</w:t>
            </w:r>
            <w:r w:rsidRPr="00342263">
              <w:rPr>
                <w:rFonts w:ascii="Times New Roman" w:hAnsi="Times New Roman"/>
                <w:sz w:val="24"/>
                <w:szCs w:val="24"/>
              </w:rPr>
              <w:t xml:space="preserve"> (10 matavimų standartinis nuokrypis pasirinktame taške spektriniame diapazone prie 1500 cm</w:t>
            </w:r>
            <w:r w:rsidRPr="00342263">
              <w:rPr>
                <w:rFonts w:ascii="Times New Roman" w:hAnsi="Times New Roman"/>
                <w:sz w:val="24"/>
                <w:szCs w:val="24"/>
                <w:vertAlign w:val="superscript"/>
              </w:rPr>
              <w:t>-1</w:t>
            </w:r>
            <w:r w:rsidRPr="00342263">
              <w:rPr>
                <w:rFonts w:ascii="Times New Roman" w:hAnsi="Times New Roman"/>
                <w:sz w:val="24"/>
                <w:szCs w:val="24"/>
              </w:rPr>
              <w:t xml:space="preserve"> ± 100 cm</w:t>
            </w:r>
            <w:r w:rsidRPr="00342263">
              <w:rPr>
                <w:rFonts w:ascii="Times New Roman" w:hAnsi="Times New Roman"/>
                <w:sz w:val="24"/>
                <w:szCs w:val="24"/>
                <w:vertAlign w:val="superscript"/>
              </w:rPr>
              <w:t>-1</w:t>
            </w:r>
            <w:r w:rsidRPr="00342263">
              <w:rPr>
                <w:rFonts w:ascii="Times New Roman" w:hAnsi="Times New Roman"/>
                <w:sz w:val="24"/>
                <w:szCs w:val="24"/>
              </w:rPr>
              <w:t xml:space="preserve">). </w:t>
            </w:r>
          </w:p>
        </w:tc>
      </w:tr>
      <w:tr w:rsidR="00DE5C28" w:rsidRPr="00342263" w14:paraId="5FE46456" w14:textId="77777777" w:rsidTr="0080696B">
        <w:tc>
          <w:tcPr>
            <w:tcW w:w="3681" w:type="dxa"/>
          </w:tcPr>
          <w:p w14:paraId="18600E9E" w14:textId="6A417DD8"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Šaltinis</w:t>
            </w:r>
          </w:p>
        </w:tc>
        <w:tc>
          <w:tcPr>
            <w:tcW w:w="5947" w:type="dxa"/>
          </w:tcPr>
          <w:p w14:paraId="381D8782" w14:textId="7208ECFF"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Gamintojo išcentruotas, lengvai pakeičiamas IR šaltinis, nereikalaujantis serviso inžinieriaus. Šaltiniui suteikiama ne mažesnė nei 5 metų garantija.</w:t>
            </w:r>
          </w:p>
        </w:tc>
      </w:tr>
      <w:tr w:rsidR="00DE5C28" w:rsidRPr="00342263" w14:paraId="15A8466A" w14:textId="77777777" w:rsidTr="0080696B">
        <w:tc>
          <w:tcPr>
            <w:tcW w:w="3681" w:type="dxa"/>
          </w:tcPr>
          <w:p w14:paraId="56B13F7D" w14:textId="61A16B47"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Detektorius</w:t>
            </w:r>
          </w:p>
        </w:tc>
        <w:tc>
          <w:tcPr>
            <w:tcW w:w="5947" w:type="dxa"/>
          </w:tcPr>
          <w:p w14:paraId="68DD879B" w14:textId="247F400C"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Ne blogesnis nei DLaTGS tipo detektorius su ne mažesnio nei 24 bitų dinaminio diapazono keitikliu.</w:t>
            </w:r>
          </w:p>
        </w:tc>
      </w:tr>
      <w:tr w:rsidR="00DE5C28" w:rsidRPr="00342263" w14:paraId="524C100D" w14:textId="77777777" w:rsidTr="0080696B">
        <w:tc>
          <w:tcPr>
            <w:tcW w:w="3681" w:type="dxa"/>
          </w:tcPr>
          <w:p w14:paraId="4F51B1AB" w14:textId="43CD7309"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Jautrumas</w:t>
            </w:r>
          </w:p>
        </w:tc>
        <w:tc>
          <w:tcPr>
            <w:tcW w:w="5947" w:type="dxa"/>
          </w:tcPr>
          <w:p w14:paraId="0C19BBF3" w14:textId="0D6A0B1B" w:rsidR="00DE5C28" w:rsidRPr="00342263" w:rsidRDefault="0080696B" w:rsidP="003535CB">
            <w:pPr>
              <w:spacing w:after="0" w:line="360" w:lineRule="auto"/>
              <w:jc w:val="both"/>
              <w:rPr>
                <w:rFonts w:ascii="Times New Roman" w:hAnsi="Times New Roman"/>
                <w:sz w:val="24"/>
                <w:szCs w:val="24"/>
              </w:rPr>
            </w:pPr>
            <w:r w:rsidRPr="00342263">
              <w:rPr>
                <w:rFonts w:ascii="Times New Roman" w:hAnsi="Times New Roman"/>
                <w:sz w:val="24"/>
                <w:szCs w:val="24"/>
              </w:rPr>
              <w:t>Ne prastesnis nei 50 000:1 signalo/triukšmo santykis matuojant prie ne didesnės nei 4 cm</w:t>
            </w:r>
            <w:r w:rsidRPr="00342263">
              <w:rPr>
                <w:rFonts w:ascii="Times New Roman" w:hAnsi="Times New Roman"/>
                <w:sz w:val="24"/>
                <w:szCs w:val="24"/>
                <w:vertAlign w:val="superscript"/>
              </w:rPr>
              <w:t>-1</w:t>
            </w:r>
            <w:r w:rsidRPr="00342263">
              <w:rPr>
                <w:rFonts w:ascii="Times New Roman" w:hAnsi="Times New Roman"/>
                <w:sz w:val="24"/>
                <w:szCs w:val="24"/>
              </w:rPr>
              <w:t xml:space="preserve"> skiriamosios gebos, nei ilgiau nei 1 min.</w:t>
            </w:r>
          </w:p>
        </w:tc>
      </w:tr>
      <w:tr w:rsidR="00DE5C28" w:rsidRPr="00342263" w14:paraId="04E2FFA5" w14:textId="77777777" w:rsidTr="0080696B">
        <w:tc>
          <w:tcPr>
            <w:tcW w:w="3681" w:type="dxa"/>
          </w:tcPr>
          <w:p w14:paraId="7BD10C4A" w14:textId="7B0743D5" w:rsidR="00DE5C28" w:rsidRPr="00342263" w:rsidRDefault="00CD2CD2" w:rsidP="003535CB">
            <w:pPr>
              <w:spacing w:after="0" w:line="360" w:lineRule="auto"/>
              <w:jc w:val="both"/>
              <w:rPr>
                <w:rFonts w:ascii="Times New Roman" w:hAnsi="Times New Roman"/>
                <w:sz w:val="24"/>
                <w:szCs w:val="24"/>
              </w:rPr>
            </w:pPr>
            <w:r w:rsidRPr="00342263">
              <w:rPr>
                <w:rFonts w:ascii="Times New Roman" w:hAnsi="Times New Roman"/>
                <w:sz w:val="24"/>
                <w:szCs w:val="24"/>
              </w:rPr>
              <w:lastRenderedPageBreak/>
              <w:t>Lazeris</w:t>
            </w:r>
          </w:p>
        </w:tc>
        <w:tc>
          <w:tcPr>
            <w:tcW w:w="5947" w:type="dxa"/>
          </w:tcPr>
          <w:p w14:paraId="1DD16381" w14:textId="73CFD79E" w:rsidR="00DE5C28" w:rsidRPr="00342263" w:rsidRDefault="00CD2CD2" w:rsidP="003535CB">
            <w:pPr>
              <w:spacing w:after="0" w:line="360" w:lineRule="auto"/>
              <w:jc w:val="both"/>
              <w:rPr>
                <w:rFonts w:ascii="Times New Roman" w:hAnsi="Times New Roman"/>
                <w:sz w:val="24"/>
                <w:szCs w:val="24"/>
              </w:rPr>
            </w:pPr>
            <w:r w:rsidRPr="00342263">
              <w:rPr>
                <w:rFonts w:ascii="Times New Roman" w:hAnsi="Times New Roman"/>
                <w:sz w:val="24"/>
                <w:szCs w:val="24"/>
              </w:rPr>
              <w:t>Diodo tipo su gamintojo suteikiama ne mažesne nei 10 metų garantija.</w:t>
            </w:r>
          </w:p>
        </w:tc>
      </w:tr>
      <w:tr w:rsidR="00DE5C28" w:rsidRPr="00342263" w14:paraId="5CC1482C" w14:textId="77777777" w:rsidTr="0080696B">
        <w:tc>
          <w:tcPr>
            <w:tcW w:w="3681" w:type="dxa"/>
          </w:tcPr>
          <w:p w14:paraId="5BFE711C" w14:textId="031EC0F7" w:rsidR="00DE5C28" w:rsidRPr="00342263" w:rsidRDefault="00CD2CD2" w:rsidP="003535CB">
            <w:pPr>
              <w:spacing w:after="0" w:line="360" w:lineRule="auto"/>
              <w:jc w:val="both"/>
              <w:rPr>
                <w:rFonts w:ascii="Times New Roman" w:hAnsi="Times New Roman"/>
                <w:sz w:val="24"/>
                <w:szCs w:val="24"/>
              </w:rPr>
            </w:pPr>
            <w:r w:rsidRPr="00342263">
              <w:rPr>
                <w:rFonts w:ascii="Times New Roman" w:hAnsi="Times New Roman"/>
                <w:sz w:val="24"/>
                <w:szCs w:val="24"/>
              </w:rPr>
              <w:t>Optika</w:t>
            </w:r>
          </w:p>
        </w:tc>
        <w:tc>
          <w:tcPr>
            <w:tcW w:w="5947" w:type="dxa"/>
          </w:tcPr>
          <w:p w14:paraId="4B462333" w14:textId="14F574B6" w:rsidR="00DE5C28" w:rsidRPr="00342263" w:rsidRDefault="00CD2CD2" w:rsidP="003535CB">
            <w:pPr>
              <w:spacing w:after="0" w:line="360" w:lineRule="auto"/>
              <w:jc w:val="both"/>
              <w:rPr>
                <w:rFonts w:ascii="Times New Roman" w:hAnsi="Times New Roman"/>
                <w:sz w:val="24"/>
                <w:szCs w:val="24"/>
              </w:rPr>
            </w:pPr>
            <w:r w:rsidRPr="00342263">
              <w:rPr>
                <w:rFonts w:ascii="Times New Roman" w:hAnsi="Times New Roman"/>
                <w:sz w:val="24"/>
                <w:szCs w:val="24"/>
              </w:rPr>
              <w:t>Visi vidiniai spektrometro nukreipiamieji veidrodžiai turi būti dengti aukso danga, siekiant maksimaliai padidinti šviesos pralaidumą MIR srityje. Optika turi būti sandari ir izoliuota su drėgmės šalinimu.</w:t>
            </w:r>
          </w:p>
        </w:tc>
      </w:tr>
      <w:tr w:rsidR="00DE5C28" w:rsidRPr="00342263" w14:paraId="3F92FE8C" w14:textId="77777777" w:rsidTr="0080696B">
        <w:tc>
          <w:tcPr>
            <w:tcW w:w="3681" w:type="dxa"/>
          </w:tcPr>
          <w:p w14:paraId="37F15955" w14:textId="77F483E8" w:rsidR="00DE5C28" w:rsidRPr="00342263" w:rsidRDefault="00CD2CD2" w:rsidP="003535CB">
            <w:pPr>
              <w:spacing w:after="0" w:line="360" w:lineRule="auto"/>
              <w:jc w:val="both"/>
              <w:rPr>
                <w:rFonts w:ascii="Times New Roman" w:hAnsi="Times New Roman"/>
                <w:sz w:val="24"/>
                <w:szCs w:val="24"/>
              </w:rPr>
            </w:pPr>
            <w:r w:rsidRPr="00342263">
              <w:rPr>
                <w:rFonts w:ascii="Times New Roman" w:hAnsi="Times New Roman"/>
                <w:sz w:val="24"/>
                <w:szCs w:val="24"/>
              </w:rPr>
              <w:t>Matavimo priedai</w:t>
            </w:r>
          </w:p>
        </w:tc>
        <w:tc>
          <w:tcPr>
            <w:tcW w:w="5947" w:type="dxa"/>
          </w:tcPr>
          <w:p w14:paraId="6DE97560" w14:textId="77777777" w:rsidR="00DE5C28" w:rsidRPr="00342263" w:rsidRDefault="00CD2CD2"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Siūlomas prietaisas turi būti komplektuojamas su pralaidumo matavimo ir deimanto kristalo ATR matavimo priedais. </w:t>
            </w:r>
          </w:p>
          <w:p w14:paraId="4F00BEA9" w14:textId="77777777" w:rsidR="00CD2CD2" w:rsidRPr="00342263" w:rsidRDefault="00CD2CD2"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Pralaidumo priedas turi turėti standartinį 2x3 colių laikiklį pritaikytą 13 mm tabletėms ir plėvelėms matuoti bei suderinamas su skysčių ir dujų kiuvetėmis. </w:t>
            </w:r>
          </w:p>
          <w:p w14:paraId="5F0B57B2" w14:textId="77777777" w:rsidR="00CD2CD2" w:rsidRPr="00342263" w:rsidRDefault="00CD2CD2"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Deimanto ATR priedas turi turėti mechaniškai ir chemiškai atsparų monolitinį deimanto kristalą, įtvirtintą į chemiškai atsparų pagrindą (tvirtinimas klijais nepriimtinas). Priedas turi būti tinkamas kietoms ir skystoms medžiagoms matuoti ir turi turėti integruotą prispaudimo </w:t>
            </w:r>
            <w:r w:rsidR="00262D23" w:rsidRPr="00342263">
              <w:rPr>
                <w:rFonts w:ascii="Times New Roman" w:hAnsi="Times New Roman"/>
                <w:sz w:val="24"/>
                <w:szCs w:val="24"/>
              </w:rPr>
              <w:t>prie kristalo mechanizmą. Priedui turi būti suteikiama ne mažesnė kaip 10 metų gamintojo garantija.</w:t>
            </w:r>
          </w:p>
          <w:p w14:paraId="0900BB2F" w14:textId="77777777" w:rsidR="00262D23" w:rsidRPr="00342263" w:rsidRDefault="00262D23" w:rsidP="003535CB">
            <w:pPr>
              <w:spacing w:after="0" w:line="360" w:lineRule="auto"/>
              <w:jc w:val="both"/>
              <w:rPr>
                <w:rFonts w:ascii="Times New Roman" w:hAnsi="Times New Roman"/>
                <w:sz w:val="24"/>
                <w:szCs w:val="24"/>
              </w:rPr>
            </w:pPr>
            <w:r w:rsidRPr="00342263">
              <w:rPr>
                <w:rFonts w:ascii="Times New Roman" w:hAnsi="Times New Roman"/>
                <w:sz w:val="24"/>
                <w:szCs w:val="24"/>
              </w:rPr>
              <w:t>Siūlomas prietaisas turi turėti gamintojo numatytą techninę galimybę papildomai įdiegti atspindžio matavimo priedą su integruota vaizdo kamera, skirta matavimo taško vizualizavimui ir fiksavimui, be poreikio keisti pagrindinį prietaisą ar atnaujinti programinę įrangą į kitą versiją. Toks priedas, jei ateityje bus įsigytas, turi būti automatiškai atpažįstamas programinės įrangos.</w:t>
            </w:r>
          </w:p>
          <w:p w14:paraId="40FCDC0F" w14:textId="4D2244CD" w:rsidR="00262D23" w:rsidRPr="00342263" w:rsidRDefault="00262D23"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Visi matavimo priedai (esami ir būsimi) turi būti automatiškai atpažįstami programinės įrangos, be papildomo rankinio parametrų nustatymo. </w:t>
            </w:r>
          </w:p>
        </w:tc>
      </w:tr>
      <w:tr w:rsidR="00DE5C28" w:rsidRPr="00342263" w14:paraId="1EB2ACEF" w14:textId="77777777" w:rsidTr="0080696B">
        <w:tc>
          <w:tcPr>
            <w:tcW w:w="3681" w:type="dxa"/>
          </w:tcPr>
          <w:p w14:paraId="1B57F3CD" w14:textId="64E06598" w:rsidR="00DE5C28" w:rsidRPr="00342263" w:rsidRDefault="00BF70D8" w:rsidP="003535CB">
            <w:pPr>
              <w:spacing w:after="0" w:line="360" w:lineRule="auto"/>
              <w:jc w:val="both"/>
              <w:rPr>
                <w:rFonts w:ascii="Times New Roman" w:hAnsi="Times New Roman"/>
                <w:sz w:val="24"/>
                <w:szCs w:val="24"/>
              </w:rPr>
            </w:pPr>
            <w:r w:rsidRPr="00342263">
              <w:rPr>
                <w:rFonts w:ascii="Times New Roman" w:hAnsi="Times New Roman"/>
                <w:sz w:val="24"/>
                <w:szCs w:val="24"/>
              </w:rPr>
              <w:t>Interferometras</w:t>
            </w:r>
          </w:p>
        </w:tc>
        <w:tc>
          <w:tcPr>
            <w:tcW w:w="5947" w:type="dxa"/>
          </w:tcPr>
          <w:p w14:paraId="1830AEE8" w14:textId="672BB8E6" w:rsidR="00DE5C28" w:rsidRPr="00342263" w:rsidRDefault="00BF70D8"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Turi būti nuolat suderintas be papildomų numatytų derinimo/kalibravimo procedūrų. Interferometras turi būti stabilus ir atsparus vibracijoms. Interferometras privalo rinkti duomenis abiem skenavimo kryptimis. Judesio </w:t>
            </w:r>
            <w:r w:rsidRPr="00342263">
              <w:rPr>
                <w:rFonts w:ascii="Times New Roman" w:hAnsi="Times New Roman"/>
                <w:sz w:val="24"/>
                <w:szCs w:val="24"/>
              </w:rPr>
              <w:lastRenderedPageBreak/>
              <w:t>mechanizmas turi būti atsparus susidėvėjimui (be mechaninės trinties). Interferometrui suteikiama ne mažesnė kaip 10 metų gamintojo garantija.</w:t>
            </w:r>
          </w:p>
        </w:tc>
      </w:tr>
      <w:tr w:rsidR="00BF70D8" w:rsidRPr="00342263" w14:paraId="347F30CC" w14:textId="77777777" w:rsidTr="0080696B">
        <w:tc>
          <w:tcPr>
            <w:tcW w:w="3681" w:type="dxa"/>
          </w:tcPr>
          <w:p w14:paraId="2EF58222" w14:textId="0F7EC44D" w:rsidR="00BF70D8" w:rsidRPr="00342263" w:rsidRDefault="00BF70D8" w:rsidP="003535CB">
            <w:pPr>
              <w:spacing w:after="0" w:line="360" w:lineRule="auto"/>
              <w:jc w:val="both"/>
              <w:rPr>
                <w:rFonts w:ascii="Times New Roman" w:hAnsi="Times New Roman"/>
                <w:sz w:val="24"/>
                <w:szCs w:val="24"/>
              </w:rPr>
            </w:pPr>
            <w:r w:rsidRPr="00342263">
              <w:rPr>
                <w:rFonts w:ascii="Times New Roman" w:hAnsi="Times New Roman"/>
                <w:sz w:val="24"/>
                <w:szCs w:val="24"/>
              </w:rPr>
              <w:lastRenderedPageBreak/>
              <w:t>Komunikacija ir tinklo integracija</w:t>
            </w:r>
          </w:p>
        </w:tc>
        <w:tc>
          <w:tcPr>
            <w:tcW w:w="5947" w:type="dxa"/>
          </w:tcPr>
          <w:p w14:paraId="1B8E1318" w14:textId="1E557D7A" w:rsidR="00BF70D8" w:rsidRPr="00342263" w:rsidRDefault="00BF70D8"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Duomenų perdavimui ir sistemos valdymui turi būti naudojama standartinė laidinė Ethernet (LAN) sąsaja. Spektrometras privalo turėti galimybę veikti vietiniame kompiuterių tinkle (LAN) naudojant unikalų statinį arba dinaminį IP adresą, užtikrinant sklandų integravimą į įstaigos IT infrastruktūrą bei duomenų perkėlimą į serverį ar LIMS sistemas. Prietaisas privalo turėti integruotą vidinę žiniatinklio serverio funkciją, leidžiančią atlikti prietaiso techninės būklės ir komponentų diagnostikos patikrą nuotoliniu būdu per standartinę interneto naršyklę (įvedus prietaiso IP adresą vietiniame tinkle), nenaudojant kompiuteryje </w:t>
            </w:r>
            <w:r w:rsidR="004E17C6" w:rsidRPr="00342263">
              <w:rPr>
                <w:rFonts w:ascii="Times New Roman" w:hAnsi="Times New Roman"/>
                <w:sz w:val="24"/>
                <w:szCs w:val="24"/>
              </w:rPr>
              <w:t>įdiegtos programinės įrangos.</w:t>
            </w:r>
          </w:p>
        </w:tc>
      </w:tr>
      <w:tr w:rsidR="004E17C6" w:rsidRPr="00342263" w14:paraId="1EB6EBCD" w14:textId="77777777" w:rsidTr="0080696B">
        <w:tc>
          <w:tcPr>
            <w:tcW w:w="3681" w:type="dxa"/>
          </w:tcPr>
          <w:p w14:paraId="02CE1071" w14:textId="79549013" w:rsidR="004E17C6" w:rsidRPr="00342263" w:rsidRDefault="00A36641" w:rsidP="003535CB">
            <w:pPr>
              <w:spacing w:after="0" w:line="360" w:lineRule="auto"/>
              <w:jc w:val="both"/>
              <w:rPr>
                <w:rFonts w:ascii="Times New Roman" w:hAnsi="Times New Roman"/>
                <w:sz w:val="24"/>
                <w:szCs w:val="24"/>
              </w:rPr>
            </w:pPr>
            <w:r w:rsidRPr="00342263">
              <w:rPr>
                <w:rFonts w:ascii="Times New Roman" w:hAnsi="Times New Roman"/>
                <w:sz w:val="24"/>
                <w:szCs w:val="24"/>
              </w:rPr>
              <w:t>Kontrolė</w:t>
            </w:r>
          </w:p>
        </w:tc>
        <w:tc>
          <w:tcPr>
            <w:tcW w:w="5947" w:type="dxa"/>
          </w:tcPr>
          <w:p w14:paraId="1F92AA37" w14:textId="4EA45385" w:rsidR="004E17C6" w:rsidRPr="00342263" w:rsidRDefault="00A36641" w:rsidP="003535CB">
            <w:pPr>
              <w:spacing w:after="0" w:line="360" w:lineRule="auto"/>
              <w:jc w:val="both"/>
              <w:rPr>
                <w:rFonts w:ascii="Times New Roman" w:hAnsi="Times New Roman"/>
                <w:sz w:val="24"/>
                <w:szCs w:val="24"/>
              </w:rPr>
            </w:pPr>
            <w:r w:rsidRPr="00342263">
              <w:rPr>
                <w:rFonts w:ascii="Times New Roman" w:hAnsi="Times New Roman"/>
                <w:sz w:val="24"/>
                <w:szCs w:val="24"/>
              </w:rPr>
              <w:t>Spektrometro gamyklinės specifikacijos (minimalios/maksimalios leistinos reikšmės) nuolat stebimos. Vartotojas iš</w:t>
            </w:r>
            <w:r w:rsidR="002B1D0B" w:rsidRPr="00342263">
              <w:rPr>
                <w:rFonts w:ascii="Times New Roman" w:hAnsi="Times New Roman"/>
                <w:sz w:val="24"/>
                <w:szCs w:val="24"/>
              </w:rPr>
              <w:t xml:space="preserve"> </w:t>
            </w:r>
            <w:r w:rsidRPr="00342263">
              <w:rPr>
                <w:rFonts w:ascii="Times New Roman" w:hAnsi="Times New Roman"/>
                <w:sz w:val="24"/>
                <w:szCs w:val="24"/>
              </w:rPr>
              <w:t>karto įspėjamas apie kurio nors iš parametrų neatitikimą. Programinė įranga turi detaliai aprašyti bet kokį neatitikimą bei pasiūlyti, kaip jį pašalinti.</w:t>
            </w:r>
          </w:p>
          <w:p w14:paraId="783F269B" w14:textId="77777777" w:rsidR="00A36641" w:rsidRPr="00342263" w:rsidRDefault="00A36641"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Programinė įranga turi palaikyti visiškai automatizuotus prietaiso parametrų patikros testus naudojant spektrometre integruotą etaloninę medžiagą. </w:t>
            </w:r>
          </w:p>
          <w:p w14:paraId="36596650" w14:textId="53391F8C" w:rsidR="00A36641" w:rsidRPr="00342263" w:rsidRDefault="00A36641"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Prietaisas turi turėti integruotą drėgmės sensorių, automatiškai informuojantį apie viršijamą limitą. Drėgmės reguliavimui naudojamas </w:t>
            </w:r>
            <w:proofErr w:type="spellStart"/>
            <w:r w:rsidRPr="00342263">
              <w:rPr>
                <w:rFonts w:ascii="Times New Roman" w:hAnsi="Times New Roman"/>
                <w:sz w:val="24"/>
                <w:szCs w:val="24"/>
              </w:rPr>
              <w:t>desikantas</w:t>
            </w:r>
            <w:proofErr w:type="spellEnd"/>
            <w:r w:rsidRPr="00342263">
              <w:rPr>
                <w:rFonts w:ascii="Times New Roman" w:hAnsi="Times New Roman"/>
                <w:sz w:val="24"/>
                <w:szCs w:val="24"/>
              </w:rPr>
              <w:t xml:space="preserve"> turi būti lengvai naudotojo keičiamas ir regeneruojamas. </w:t>
            </w:r>
          </w:p>
        </w:tc>
      </w:tr>
      <w:tr w:rsidR="004E17C6" w:rsidRPr="00342263" w14:paraId="506BD489" w14:textId="77777777" w:rsidTr="0080696B">
        <w:tc>
          <w:tcPr>
            <w:tcW w:w="3681" w:type="dxa"/>
          </w:tcPr>
          <w:p w14:paraId="3ED6FB33" w14:textId="746AB0B0" w:rsidR="004E17C6" w:rsidRPr="00342263" w:rsidRDefault="00A36641" w:rsidP="003535CB">
            <w:pPr>
              <w:spacing w:after="0" w:line="360" w:lineRule="auto"/>
              <w:jc w:val="both"/>
              <w:rPr>
                <w:rFonts w:ascii="Times New Roman" w:hAnsi="Times New Roman"/>
                <w:sz w:val="24"/>
                <w:szCs w:val="24"/>
              </w:rPr>
            </w:pPr>
            <w:r w:rsidRPr="00342263">
              <w:rPr>
                <w:rFonts w:ascii="Times New Roman" w:hAnsi="Times New Roman"/>
                <w:sz w:val="24"/>
                <w:szCs w:val="24"/>
              </w:rPr>
              <w:t>Programinė įranga</w:t>
            </w:r>
          </w:p>
        </w:tc>
        <w:tc>
          <w:tcPr>
            <w:tcW w:w="5947" w:type="dxa"/>
          </w:tcPr>
          <w:p w14:paraId="05078DC7" w14:textId="77777777" w:rsidR="004E17C6" w:rsidRPr="00342263" w:rsidRDefault="00A36641" w:rsidP="003535CB">
            <w:pPr>
              <w:spacing w:after="0" w:line="360" w:lineRule="auto"/>
              <w:jc w:val="both"/>
              <w:rPr>
                <w:rFonts w:ascii="Times New Roman" w:hAnsi="Times New Roman"/>
                <w:sz w:val="24"/>
                <w:szCs w:val="24"/>
              </w:rPr>
            </w:pPr>
            <w:r w:rsidRPr="00342263">
              <w:rPr>
                <w:rFonts w:ascii="Times New Roman" w:hAnsi="Times New Roman"/>
                <w:sz w:val="24"/>
                <w:szCs w:val="24"/>
              </w:rPr>
              <w:t>Programinė įranga reikalinga FT-IR duomenų gavimui, analizavimui bei prietaiso patikrai. Programinė įranga turi būti „viskas viename“ principo, duomenų gavimui, apdorojimui bei įvertinimui. Turi turėti matavimo vedlį su integruotu standartiniu operavimo protokolu, informuojantį naudotoją, kaip teisingai paimti ir išmatuoti mėginį.</w:t>
            </w:r>
          </w:p>
          <w:p w14:paraId="68DA2371" w14:textId="77777777" w:rsidR="00A36641" w:rsidRPr="00342263" w:rsidRDefault="00A36641" w:rsidP="003535CB">
            <w:pPr>
              <w:spacing w:after="0" w:line="360" w:lineRule="auto"/>
              <w:jc w:val="both"/>
              <w:rPr>
                <w:rFonts w:ascii="Times New Roman" w:hAnsi="Times New Roman"/>
                <w:sz w:val="24"/>
                <w:szCs w:val="24"/>
              </w:rPr>
            </w:pPr>
            <w:r w:rsidRPr="00342263">
              <w:rPr>
                <w:rFonts w:ascii="Times New Roman" w:hAnsi="Times New Roman"/>
                <w:sz w:val="24"/>
                <w:szCs w:val="24"/>
              </w:rPr>
              <w:lastRenderedPageBreak/>
              <w:t xml:space="preserve">Programinės įrangos pagalba turi būti galima kurti vartotojo mėginių spektrų bibliotekas. </w:t>
            </w:r>
          </w:p>
          <w:p w14:paraId="6D5DB488" w14:textId="77777777" w:rsidR="00A36641" w:rsidRPr="00342263" w:rsidRDefault="00A36641" w:rsidP="003535CB">
            <w:pPr>
              <w:spacing w:after="0" w:line="360" w:lineRule="auto"/>
              <w:jc w:val="both"/>
              <w:rPr>
                <w:rFonts w:ascii="Times New Roman" w:hAnsi="Times New Roman"/>
                <w:sz w:val="24"/>
                <w:szCs w:val="24"/>
              </w:rPr>
            </w:pPr>
            <w:r w:rsidRPr="00342263">
              <w:rPr>
                <w:rFonts w:ascii="Times New Roman" w:hAnsi="Times New Roman"/>
                <w:sz w:val="24"/>
                <w:szCs w:val="24"/>
              </w:rPr>
              <w:t>Programine įranga turi būti galima atlikti šias funkcijas:</w:t>
            </w:r>
          </w:p>
          <w:p w14:paraId="65F21300"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Bazinės linijos korekciją;</w:t>
            </w:r>
          </w:p>
          <w:p w14:paraId="6D36FFD6"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Spektrų atėmimus;</w:t>
            </w:r>
          </w:p>
          <w:p w14:paraId="3EBDF565"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Pasirinkti diapazono apkirpimą;</w:t>
            </w:r>
          </w:p>
          <w:p w14:paraId="54B78552"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Spektrų normalizavimą;</w:t>
            </w:r>
          </w:p>
          <w:p w14:paraId="4B58C265"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Spektrinės gebos keitimą;</w:t>
            </w:r>
          </w:p>
          <w:p w14:paraId="5CD4DBEC"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 xml:space="preserve">Dviejų atskirų spektrinių diapazonų suliejimą į vieną; </w:t>
            </w:r>
          </w:p>
          <w:p w14:paraId="75E94636"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Makro komandų kūrimą ir vykdymą;</w:t>
            </w:r>
          </w:p>
          <w:p w14:paraId="49CD92CF"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Daugybinį ir rankinį spektrinių juostų žymėjimą;</w:t>
            </w:r>
          </w:p>
          <w:p w14:paraId="132A382A"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Kiekybinio metodo kalibracinės kreivės kūrimą ir jos automatinį taikymą išmatuotiems spektrams;</w:t>
            </w:r>
          </w:p>
          <w:p w14:paraId="07B0F482" w14:textId="77777777" w:rsidR="00A36641" w:rsidRPr="00342263" w:rsidRDefault="00A36641"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Identifikacinio metodo kūrimą ir jo taikymą išmatuotiems spektrams;</w:t>
            </w:r>
          </w:p>
          <w:p w14:paraId="6E4A1A17" w14:textId="77777777" w:rsidR="00A36641" w:rsidRPr="00342263" w:rsidRDefault="002B1D0B"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Pirmo ir antro laipsnio spektrų išvestinių skaičiavimą;</w:t>
            </w:r>
          </w:p>
          <w:p w14:paraId="1A181FD4" w14:textId="77777777" w:rsidR="002B1D0B" w:rsidRPr="00342263" w:rsidRDefault="002B1D0B"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Kramers-Kronig spektrų transformavimą;</w:t>
            </w:r>
          </w:p>
          <w:p w14:paraId="29335AFD" w14:textId="77777777" w:rsidR="002B1D0B" w:rsidRPr="00342263" w:rsidRDefault="002B1D0B"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Spektrų vidurkinimą;</w:t>
            </w:r>
          </w:p>
          <w:p w14:paraId="069399EE" w14:textId="77777777" w:rsidR="002B1D0B" w:rsidRPr="00342263" w:rsidRDefault="002B1D0B"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Atmosferos gerų ir CO</w:t>
            </w:r>
            <w:r w:rsidRPr="00342263">
              <w:rPr>
                <w:rFonts w:ascii="Times New Roman" w:hAnsi="Times New Roman"/>
                <w:sz w:val="24"/>
                <w:szCs w:val="24"/>
                <w:vertAlign w:val="subscript"/>
              </w:rPr>
              <w:t>2</w:t>
            </w:r>
            <w:r w:rsidRPr="00342263">
              <w:rPr>
                <w:rFonts w:ascii="Times New Roman" w:hAnsi="Times New Roman"/>
                <w:sz w:val="24"/>
                <w:szCs w:val="24"/>
              </w:rPr>
              <w:t xml:space="preserve"> kompensavimą;</w:t>
            </w:r>
          </w:p>
          <w:p w14:paraId="53210FA7" w14:textId="77777777" w:rsidR="002B1D0B" w:rsidRPr="00342263" w:rsidRDefault="002B1D0B"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Spektrinių juostų dekonvuliaciją;</w:t>
            </w:r>
          </w:p>
          <w:p w14:paraId="0F64C300" w14:textId="77777777" w:rsidR="002B1D0B" w:rsidRPr="00342263" w:rsidRDefault="002B1D0B" w:rsidP="00A36641">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Ataskaitų išvaizdos koregavimą ir generavimą;</w:t>
            </w:r>
          </w:p>
          <w:p w14:paraId="6CB1FFC4" w14:textId="77777777" w:rsidR="002B1D0B" w:rsidRPr="00342263" w:rsidRDefault="002B1D0B" w:rsidP="002B1D0B">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Vartotojo spektrų bibliotekų kūrimas bei cheminės struktūros redaktoriaus integracija.</w:t>
            </w:r>
          </w:p>
          <w:p w14:paraId="337292CA" w14:textId="6A281A0F" w:rsidR="004433D2" w:rsidRPr="00342263" w:rsidRDefault="004433D2" w:rsidP="002B1D0B">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t xml:space="preserve">Automatizuotą </w:t>
            </w:r>
            <w:proofErr w:type="spellStart"/>
            <w:r w:rsidRPr="00342263">
              <w:rPr>
                <w:rFonts w:ascii="Times New Roman" w:hAnsi="Times New Roman"/>
                <w:sz w:val="24"/>
                <w:szCs w:val="24"/>
              </w:rPr>
              <w:t>daugiakomponentinių</w:t>
            </w:r>
            <w:proofErr w:type="spellEnd"/>
            <w:r w:rsidRPr="00342263">
              <w:rPr>
                <w:rFonts w:ascii="Times New Roman" w:hAnsi="Times New Roman"/>
                <w:sz w:val="24"/>
                <w:szCs w:val="24"/>
              </w:rPr>
              <w:t xml:space="preserve"> mišinių bei grynų medžiagų identifikavimo funkciją, veikiančią daugiapakopio algoritmo ar dirbtinio intelekto pagrindu, kuri automatiškai (be vartotojo įsikišimo ar numatomo komponentų skaičiaus įvedimo) nustato geriausiai tiriamąjį spektrą atitinkančius junginius vienos analizės metu. </w:t>
            </w:r>
          </w:p>
          <w:p w14:paraId="089F200F" w14:textId="31E42016" w:rsidR="004433D2" w:rsidRPr="00342263" w:rsidRDefault="004433D2" w:rsidP="002B1D0B">
            <w:pPr>
              <w:pStyle w:val="ListParagraph"/>
              <w:numPr>
                <w:ilvl w:val="0"/>
                <w:numId w:val="4"/>
              </w:numPr>
              <w:spacing w:after="0" w:line="360" w:lineRule="auto"/>
              <w:jc w:val="both"/>
              <w:rPr>
                <w:rFonts w:ascii="Times New Roman" w:hAnsi="Times New Roman"/>
                <w:sz w:val="24"/>
                <w:szCs w:val="24"/>
              </w:rPr>
            </w:pPr>
            <w:r w:rsidRPr="00342263">
              <w:rPr>
                <w:rFonts w:ascii="Times New Roman" w:hAnsi="Times New Roman"/>
                <w:sz w:val="24"/>
                <w:szCs w:val="24"/>
              </w:rPr>
              <w:lastRenderedPageBreak/>
              <w:t>Programinėje įrangoje turi būti integruota interaktyvi pagalbos sistema su vaizdo ir garso pamokomis (ar subtitrais), automatiškai prisitaikančiomis prie tuo metu atverto programos lango ar vykdomos funkcijos, kad naudotojas galėtų gauti kontekstinę pagalbą tiesiogiai valdymo aplinkoje.</w:t>
            </w:r>
          </w:p>
          <w:p w14:paraId="586FB47C" w14:textId="48A5A73C" w:rsidR="002B1D0B" w:rsidRPr="00342263" w:rsidRDefault="002B1D0B" w:rsidP="002B1D0B">
            <w:pPr>
              <w:spacing w:after="0" w:line="360" w:lineRule="auto"/>
              <w:jc w:val="both"/>
              <w:rPr>
                <w:rFonts w:ascii="Times New Roman" w:hAnsi="Times New Roman"/>
                <w:sz w:val="24"/>
                <w:szCs w:val="24"/>
              </w:rPr>
            </w:pPr>
            <w:r w:rsidRPr="00342263">
              <w:rPr>
                <w:rFonts w:ascii="Times New Roman" w:hAnsi="Times New Roman"/>
                <w:sz w:val="24"/>
                <w:szCs w:val="24"/>
              </w:rPr>
              <w:t>Turi būti galima atlikti spektrų manipuliacines operacijas iš karto su keletu spektrų vienu uždavimu.</w:t>
            </w:r>
          </w:p>
        </w:tc>
      </w:tr>
      <w:tr w:rsidR="004E17C6" w:rsidRPr="00342263" w14:paraId="3220A51A" w14:textId="77777777" w:rsidTr="0080696B">
        <w:tc>
          <w:tcPr>
            <w:tcW w:w="3681" w:type="dxa"/>
          </w:tcPr>
          <w:p w14:paraId="62B1967E" w14:textId="22810DD1" w:rsidR="004E17C6"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lastRenderedPageBreak/>
              <w:t>Bibliotekos</w:t>
            </w:r>
          </w:p>
        </w:tc>
        <w:tc>
          <w:tcPr>
            <w:tcW w:w="5947" w:type="dxa"/>
          </w:tcPr>
          <w:p w14:paraId="51E75124" w14:textId="2D1428E3" w:rsidR="004E17C6"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Ne mažesnė nei 10 000 junginių ATR-FTIR spektrų biblioteka, skirta įvairaus tipo organinių ir neorganinių skystų ir kietų medžiagų identifikavimui.</w:t>
            </w:r>
          </w:p>
        </w:tc>
      </w:tr>
      <w:tr w:rsidR="004E17C6" w:rsidRPr="00342263" w14:paraId="0C3EC8F4" w14:textId="77777777" w:rsidTr="0080696B">
        <w:tc>
          <w:tcPr>
            <w:tcW w:w="3681" w:type="dxa"/>
          </w:tcPr>
          <w:p w14:paraId="61B0ACBD" w14:textId="253AC352" w:rsidR="004E17C6"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Kompiuteris</w:t>
            </w:r>
          </w:p>
        </w:tc>
        <w:tc>
          <w:tcPr>
            <w:tcW w:w="5947" w:type="dxa"/>
          </w:tcPr>
          <w:p w14:paraId="51DFA80D" w14:textId="4CB46628" w:rsidR="004E17C6"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Gamintojo rekomendacijas atitinkantis nešiojamas kompiuteris su operacine sistema lygiaverte ar geresne nei Windows 11.</w:t>
            </w:r>
          </w:p>
        </w:tc>
      </w:tr>
      <w:tr w:rsidR="004E17C6" w:rsidRPr="00342263" w14:paraId="0B98DBB1" w14:textId="77777777" w:rsidTr="0080696B">
        <w:tc>
          <w:tcPr>
            <w:tcW w:w="3681" w:type="dxa"/>
          </w:tcPr>
          <w:p w14:paraId="1CF352FC" w14:textId="013F3FF8" w:rsidR="004E17C6"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Maitinimas</w:t>
            </w:r>
          </w:p>
        </w:tc>
        <w:tc>
          <w:tcPr>
            <w:tcW w:w="5947" w:type="dxa"/>
          </w:tcPr>
          <w:p w14:paraId="3DC36224" w14:textId="29AF2201" w:rsidR="004E17C6"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Tiesioginis prietaiso maitinimas iš 220 V, 50 Hz tinklo. Spektrometro galia turi būti didesnė nei 25 W.</w:t>
            </w:r>
          </w:p>
        </w:tc>
      </w:tr>
      <w:tr w:rsidR="002B1D0B" w:rsidRPr="00342263" w14:paraId="0122A34F" w14:textId="77777777" w:rsidTr="0080696B">
        <w:tc>
          <w:tcPr>
            <w:tcW w:w="3681" w:type="dxa"/>
          </w:tcPr>
          <w:p w14:paraId="26DDE4D3" w14:textId="4FFCB80F" w:rsidR="002B1D0B"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Išmatavimai</w:t>
            </w:r>
          </w:p>
        </w:tc>
        <w:tc>
          <w:tcPr>
            <w:tcW w:w="5947" w:type="dxa"/>
          </w:tcPr>
          <w:p w14:paraId="29A02E72" w14:textId="372AB611" w:rsidR="002B1D0B"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Spektrometro svoris nei didesnis nei 10 kg, prietaiso užimamas plotas nei didesnis nei 25 x 35 cm, lengvam ir patogiam transportavimui užtikrinti.</w:t>
            </w:r>
          </w:p>
        </w:tc>
      </w:tr>
      <w:tr w:rsidR="002B1D0B" w:rsidRPr="00342263" w14:paraId="679DF9F9" w14:textId="77777777" w:rsidTr="0080696B">
        <w:tc>
          <w:tcPr>
            <w:tcW w:w="3681" w:type="dxa"/>
          </w:tcPr>
          <w:p w14:paraId="0F4FA26B" w14:textId="58EC2401" w:rsidR="002B1D0B"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Mokymai</w:t>
            </w:r>
          </w:p>
        </w:tc>
        <w:tc>
          <w:tcPr>
            <w:tcW w:w="5947" w:type="dxa"/>
          </w:tcPr>
          <w:p w14:paraId="7D169D50" w14:textId="749B4DF8" w:rsidR="002B1D0B"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Tiekėjas privalo atlikti pilnus teorinius ir praktinius mokymus </w:t>
            </w:r>
            <w:r w:rsidR="00DC3E39" w:rsidRPr="00342263">
              <w:rPr>
                <w:rFonts w:ascii="Times New Roman" w:hAnsi="Times New Roman"/>
                <w:sz w:val="24"/>
                <w:szCs w:val="24"/>
              </w:rPr>
              <w:t>Panerių g. 26, Vilnius</w:t>
            </w:r>
            <w:r w:rsidRPr="00342263">
              <w:rPr>
                <w:rFonts w:ascii="Times New Roman" w:hAnsi="Times New Roman"/>
                <w:sz w:val="24"/>
                <w:szCs w:val="24"/>
              </w:rPr>
              <w:t>. Mokymo programoje turi būti supažindinama su prietaiso veikimu, priežiūra, spektrų apdorojimo algoritmais bei programinės įrangos valdymu. Mokymai turi vykti lietuvių kalba</w:t>
            </w:r>
            <w:r w:rsidR="001D1386" w:rsidRPr="00342263">
              <w:rPr>
                <w:rFonts w:ascii="Times New Roman" w:hAnsi="Times New Roman"/>
                <w:sz w:val="24"/>
                <w:szCs w:val="24"/>
              </w:rPr>
              <w:t>, ne vėliau kaip per 3 savaitės nuo įrangos pristatymo.</w:t>
            </w:r>
          </w:p>
        </w:tc>
      </w:tr>
      <w:tr w:rsidR="002B1D0B" w:rsidRPr="00342263" w14:paraId="5962E2FF" w14:textId="77777777" w:rsidTr="0080696B">
        <w:tc>
          <w:tcPr>
            <w:tcW w:w="3681" w:type="dxa"/>
          </w:tcPr>
          <w:p w14:paraId="6CB5C2FE" w14:textId="614A1080" w:rsidR="002B1D0B"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Garantija</w:t>
            </w:r>
          </w:p>
        </w:tc>
        <w:tc>
          <w:tcPr>
            <w:tcW w:w="5947" w:type="dxa"/>
          </w:tcPr>
          <w:p w14:paraId="14068682" w14:textId="19CB3F9A" w:rsidR="002B1D0B" w:rsidRPr="00342263" w:rsidRDefault="002B1D0B" w:rsidP="003535CB">
            <w:pPr>
              <w:spacing w:after="0" w:line="360" w:lineRule="auto"/>
              <w:jc w:val="both"/>
              <w:rPr>
                <w:rFonts w:ascii="Times New Roman" w:hAnsi="Times New Roman"/>
                <w:sz w:val="24"/>
                <w:szCs w:val="24"/>
              </w:rPr>
            </w:pPr>
            <w:r w:rsidRPr="00342263">
              <w:rPr>
                <w:rFonts w:ascii="Times New Roman" w:hAnsi="Times New Roman"/>
                <w:sz w:val="24"/>
                <w:szCs w:val="24"/>
              </w:rPr>
              <w:t xml:space="preserve">Visai sistemai suteikiama ne mažesnė kaip 12 mėnesių garantija nuo priėmimo-perdavimo akto pasirašymo dienos (išskyrus </w:t>
            </w:r>
            <w:r w:rsidR="00F00E96" w:rsidRPr="00342263">
              <w:rPr>
                <w:rFonts w:ascii="Times New Roman" w:hAnsi="Times New Roman"/>
                <w:sz w:val="24"/>
                <w:szCs w:val="24"/>
              </w:rPr>
              <w:t>specifiniams optiniams komponentams taikomas ilgesnes garantijas: interferometrui ≥ 10 metų, lazeriui ≥ 10 metų, šaltiniui ≥ 5 metams, ATR deimanto moduliui ≥ 10 metų).</w:t>
            </w:r>
          </w:p>
        </w:tc>
      </w:tr>
    </w:tbl>
    <w:p w14:paraId="120A33D3" w14:textId="13EEF378" w:rsidR="003535CB" w:rsidRPr="00342263" w:rsidRDefault="003535CB" w:rsidP="001D1386">
      <w:pPr>
        <w:rPr>
          <w:rFonts w:ascii="Times New Roman" w:hAnsi="Times New Roman"/>
          <w:sz w:val="24"/>
          <w:szCs w:val="24"/>
        </w:rPr>
      </w:pPr>
    </w:p>
    <w:sectPr w:rsidR="003535CB" w:rsidRPr="0034226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7B19"/>
    <w:multiLevelType w:val="multilevel"/>
    <w:tmpl w:val="716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82B9B"/>
    <w:multiLevelType w:val="multilevel"/>
    <w:tmpl w:val="4CA82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150735"/>
    <w:multiLevelType w:val="hybridMultilevel"/>
    <w:tmpl w:val="4482A8B6"/>
    <w:lvl w:ilvl="0" w:tplc="91F28C3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70F0054"/>
    <w:multiLevelType w:val="multilevel"/>
    <w:tmpl w:val="111CD960"/>
    <w:lvl w:ilvl="0">
      <w:start w:val="1"/>
      <w:numFmt w:val="decimal"/>
      <w:lvlText w:val="48.%1."/>
      <w:lvlJc w:val="left"/>
      <w:pPr>
        <w:ind w:left="1211" w:hanging="360"/>
      </w:pPr>
      <w:rPr>
        <w:rFonts w:hint="default"/>
      </w:rPr>
    </w:lvl>
    <w:lvl w:ilvl="1">
      <w:start w:val="1"/>
      <w:numFmt w:val="lowerLetter"/>
      <w:lvlText w:val="%2."/>
      <w:lvlJc w:val="left"/>
      <w:pPr>
        <w:ind w:left="1931" w:hanging="360"/>
      </w:pPr>
      <w:rPr>
        <w:rFonts w:hint="default"/>
      </w:rPr>
    </w:lvl>
    <w:lvl w:ilvl="2">
      <w:start w:val="1"/>
      <w:numFmt w:val="lowerRoman"/>
      <w:lvlText w:val="%3."/>
      <w:lvlJc w:val="right"/>
      <w:pPr>
        <w:ind w:left="2651" w:hanging="180"/>
      </w:pPr>
      <w:rPr>
        <w:rFonts w:hint="default"/>
      </w:rPr>
    </w:lvl>
    <w:lvl w:ilvl="3">
      <w:start w:val="1"/>
      <w:numFmt w:val="decimal"/>
      <w:lvlText w:val="%4."/>
      <w:lvlJc w:val="left"/>
      <w:pPr>
        <w:ind w:left="3371" w:hanging="360"/>
      </w:pPr>
      <w:rPr>
        <w:rFonts w:hint="default"/>
      </w:rPr>
    </w:lvl>
    <w:lvl w:ilvl="4">
      <w:start w:val="1"/>
      <w:numFmt w:val="lowerLetter"/>
      <w:lvlText w:val="%5."/>
      <w:lvlJc w:val="left"/>
      <w:pPr>
        <w:ind w:left="4091" w:hanging="360"/>
      </w:pPr>
      <w:rPr>
        <w:rFonts w:hint="default"/>
      </w:rPr>
    </w:lvl>
    <w:lvl w:ilvl="5">
      <w:start w:val="1"/>
      <w:numFmt w:val="lowerRoman"/>
      <w:lvlText w:val="%6."/>
      <w:lvlJc w:val="right"/>
      <w:pPr>
        <w:ind w:left="4811" w:hanging="180"/>
      </w:pPr>
      <w:rPr>
        <w:rFonts w:hint="default"/>
      </w:rPr>
    </w:lvl>
    <w:lvl w:ilvl="6">
      <w:start w:val="1"/>
      <w:numFmt w:val="decimal"/>
      <w:lvlText w:val="%7."/>
      <w:lvlJc w:val="left"/>
      <w:pPr>
        <w:ind w:left="5531" w:hanging="360"/>
      </w:pPr>
      <w:rPr>
        <w:rFonts w:hint="default"/>
      </w:rPr>
    </w:lvl>
    <w:lvl w:ilvl="7">
      <w:start w:val="1"/>
      <w:numFmt w:val="lowerLetter"/>
      <w:lvlText w:val="%8."/>
      <w:lvlJc w:val="left"/>
      <w:pPr>
        <w:ind w:left="6251" w:hanging="360"/>
      </w:pPr>
      <w:rPr>
        <w:rFonts w:hint="default"/>
      </w:rPr>
    </w:lvl>
    <w:lvl w:ilvl="8">
      <w:start w:val="1"/>
      <w:numFmt w:val="lowerRoman"/>
      <w:lvlText w:val="%9."/>
      <w:lvlJc w:val="right"/>
      <w:pPr>
        <w:ind w:left="6971" w:hanging="18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392"/>
    <w:rsid w:val="0000449B"/>
    <w:rsid w:val="00056A2E"/>
    <w:rsid w:val="00066BDC"/>
    <w:rsid w:val="00073FEB"/>
    <w:rsid w:val="0009239F"/>
    <w:rsid w:val="00094305"/>
    <w:rsid w:val="000C28DC"/>
    <w:rsid w:val="00131583"/>
    <w:rsid w:val="001C444F"/>
    <w:rsid w:val="001D1386"/>
    <w:rsid w:val="002506BF"/>
    <w:rsid w:val="00262D23"/>
    <w:rsid w:val="00276334"/>
    <w:rsid w:val="00287378"/>
    <w:rsid w:val="002B1D0B"/>
    <w:rsid w:val="002B550A"/>
    <w:rsid w:val="002C6502"/>
    <w:rsid w:val="003057FC"/>
    <w:rsid w:val="00307688"/>
    <w:rsid w:val="0033590B"/>
    <w:rsid w:val="00342263"/>
    <w:rsid w:val="003535CB"/>
    <w:rsid w:val="003A7068"/>
    <w:rsid w:val="003C75C0"/>
    <w:rsid w:val="0044114C"/>
    <w:rsid w:val="004433D2"/>
    <w:rsid w:val="004729D7"/>
    <w:rsid w:val="004B0851"/>
    <w:rsid w:val="004B5C86"/>
    <w:rsid w:val="004D56F3"/>
    <w:rsid w:val="004E17C6"/>
    <w:rsid w:val="00534965"/>
    <w:rsid w:val="00535508"/>
    <w:rsid w:val="005B4677"/>
    <w:rsid w:val="005B7FF3"/>
    <w:rsid w:val="005F6695"/>
    <w:rsid w:val="00617C14"/>
    <w:rsid w:val="0068345B"/>
    <w:rsid w:val="00695640"/>
    <w:rsid w:val="006B12D6"/>
    <w:rsid w:val="006F1670"/>
    <w:rsid w:val="006F4932"/>
    <w:rsid w:val="0070050D"/>
    <w:rsid w:val="00794C73"/>
    <w:rsid w:val="0080696B"/>
    <w:rsid w:val="00827D57"/>
    <w:rsid w:val="00861C15"/>
    <w:rsid w:val="00865EC3"/>
    <w:rsid w:val="00885918"/>
    <w:rsid w:val="008E2C7E"/>
    <w:rsid w:val="008F1A30"/>
    <w:rsid w:val="009155F6"/>
    <w:rsid w:val="00964166"/>
    <w:rsid w:val="009B7392"/>
    <w:rsid w:val="009C69CF"/>
    <w:rsid w:val="009E05E8"/>
    <w:rsid w:val="009E5077"/>
    <w:rsid w:val="00A14AC9"/>
    <w:rsid w:val="00A243B2"/>
    <w:rsid w:val="00A36641"/>
    <w:rsid w:val="00AB2330"/>
    <w:rsid w:val="00AC25A8"/>
    <w:rsid w:val="00AC47A2"/>
    <w:rsid w:val="00B03335"/>
    <w:rsid w:val="00B25617"/>
    <w:rsid w:val="00B3441D"/>
    <w:rsid w:val="00B611C0"/>
    <w:rsid w:val="00BE3A97"/>
    <w:rsid w:val="00BF70D8"/>
    <w:rsid w:val="00C77F07"/>
    <w:rsid w:val="00C9728A"/>
    <w:rsid w:val="00CB6B97"/>
    <w:rsid w:val="00CD2CD2"/>
    <w:rsid w:val="00CD7E3C"/>
    <w:rsid w:val="00D325ED"/>
    <w:rsid w:val="00D41A38"/>
    <w:rsid w:val="00D74340"/>
    <w:rsid w:val="00D90BBF"/>
    <w:rsid w:val="00D91227"/>
    <w:rsid w:val="00D955CC"/>
    <w:rsid w:val="00DC2C5B"/>
    <w:rsid w:val="00DC3E39"/>
    <w:rsid w:val="00DC698A"/>
    <w:rsid w:val="00DE5C28"/>
    <w:rsid w:val="00E32488"/>
    <w:rsid w:val="00E45620"/>
    <w:rsid w:val="00E77FA6"/>
    <w:rsid w:val="00EA2502"/>
    <w:rsid w:val="00ED2E06"/>
    <w:rsid w:val="00EF141A"/>
    <w:rsid w:val="00F00E96"/>
    <w:rsid w:val="00F0422D"/>
    <w:rsid w:val="00F35F5F"/>
    <w:rsid w:val="00F43559"/>
    <w:rsid w:val="00FA321C"/>
    <w:rsid w:val="00FD2E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30FD5"/>
  <w15:docId w15:val="{198D52DD-71B5-4910-97AB-2CD28EF2B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22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F0422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2,List not in Table,Bul"/>
    <w:basedOn w:val="Normal"/>
    <w:link w:val="ListParagraphChar"/>
    <w:uiPriority w:val="34"/>
    <w:qFormat/>
    <w:rsid w:val="00F0422D"/>
    <w:pPr>
      <w:ind w:left="720"/>
      <w:contextualSpacing/>
    </w:p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Bul Char"/>
    <w:link w:val="ListParagraph"/>
    <w:uiPriority w:val="34"/>
    <w:qFormat/>
    <w:locked/>
    <w:rsid w:val="00F0422D"/>
    <w:rPr>
      <w:rFonts w:ascii="Calibri" w:eastAsia="Calibri" w:hAnsi="Calibri" w:cs="Times New Roman"/>
    </w:rPr>
  </w:style>
  <w:style w:type="paragraph" w:styleId="NoSpacing">
    <w:name w:val="No Spacing"/>
    <w:uiPriority w:val="1"/>
    <w:qFormat/>
    <w:rsid w:val="00F0422D"/>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8F1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A30"/>
    <w:rPr>
      <w:rFonts w:ascii="Tahoma" w:eastAsia="Calibri" w:hAnsi="Tahoma" w:cs="Tahoma"/>
      <w:sz w:val="16"/>
      <w:szCs w:val="16"/>
    </w:rPr>
  </w:style>
  <w:style w:type="paragraph" w:styleId="NormalWeb">
    <w:name w:val="Normal (Web)"/>
    <w:basedOn w:val="Normal"/>
    <w:uiPriority w:val="99"/>
    <w:semiHidden/>
    <w:unhideWhenUsed/>
    <w:rsid w:val="003057FC"/>
    <w:rPr>
      <w:rFonts w:ascii="Times New Roman" w:hAnsi="Times New Roman"/>
      <w:sz w:val="24"/>
      <w:szCs w:val="24"/>
    </w:rPr>
  </w:style>
  <w:style w:type="table" w:styleId="TableGrid">
    <w:name w:val="Table Grid"/>
    <w:basedOn w:val="TableNormal"/>
    <w:uiPriority w:val="39"/>
    <w:rsid w:val="00DE5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03335"/>
  </w:style>
  <w:style w:type="character" w:customStyle="1" w:styleId="eop">
    <w:name w:val="eop"/>
    <w:basedOn w:val="DefaultParagraphFont"/>
    <w:rsid w:val="00B03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585386">
      <w:bodyDiv w:val="1"/>
      <w:marLeft w:val="0"/>
      <w:marRight w:val="0"/>
      <w:marTop w:val="0"/>
      <w:marBottom w:val="0"/>
      <w:divBdr>
        <w:top w:val="none" w:sz="0" w:space="0" w:color="auto"/>
        <w:left w:val="none" w:sz="0" w:space="0" w:color="auto"/>
        <w:bottom w:val="none" w:sz="0" w:space="0" w:color="auto"/>
        <w:right w:val="none" w:sz="0" w:space="0" w:color="auto"/>
      </w:divBdr>
    </w:div>
    <w:div w:id="331571428">
      <w:bodyDiv w:val="1"/>
      <w:marLeft w:val="0"/>
      <w:marRight w:val="0"/>
      <w:marTop w:val="0"/>
      <w:marBottom w:val="0"/>
      <w:divBdr>
        <w:top w:val="none" w:sz="0" w:space="0" w:color="auto"/>
        <w:left w:val="none" w:sz="0" w:space="0" w:color="auto"/>
        <w:bottom w:val="none" w:sz="0" w:space="0" w:color="auto"/>
        <w:right w:val="none" w:sz="0" w:space="0" w:color="auto"/>
      </w:divBdr>
    </w:div>
    <w:div w:id="366679722">
      <w:bodyDiv w:val="1"/>
      <w:marLeft w:val="0"/>
      <w:marRight w:val="0"/>
      <w:marTop w:val="0"/>
      <w:marBottom w:val="0"/>
      <w:divBdr>
        <w:top w:val="none" w:sz="0" w:space="0" w:color="auto"/>
        <w:left w:val="none" w:sz="0" w:space="0" w:color="auto"/>
        <w:bottom w:val="none" w:sz="0" w:space="0" w:color="auto"/>
        <w:right w:val="none" w:sz="0" w:space="0" w:color="auto"/>
      </w:divBdr>
    </w:div>
    <w:div w:id="472065693">
      <w:bodyDiv w:val="1"/>
      <w:marLeft w:val="0"/>
      <w:marRight w:val="0"/>
      <w:marTop w:val="0"/>
      <w:marBottom w:val="0"/>
      <w:divBdr>
        <w:top w:val="none" w:sz="0" w:space="0" w:color="auto"/>
        <w:left w:val="none" w:sz="0" w:space="0" w:color="auto"/>
        <w:bottom w:val="none" w:sz="0" w:space="0" w:color="auto"/>
        <w:right w:val="none" w:sz="0" w:space="0" w:color="auto"/>
      </w:divBdr>
    </w:div>
    <w:div w:id="601763243">
      <w:bodyDiv w:val="1"/>
      <w:marLeft w:val="0"/>
      <w:marRight w:val="0"/>
      <w:marTop w:val="0"/>
      <w:marBottom w:val="0"/>
      <w:divBdr>
        <w:top w:val="none" w:sz="0" w:space="0" w:color="auto"/>
        <w:left w:val="none" w:sz="0" w:space="0" w:color="auto"/>
        <w:bottom w:val="none" w:sz="0" w:space="0" w:color="auto"/>
        <w:right w:val="none" w:sz="0" w:space="0" w:color="auto"/>
      </w:divBdr>
    </w:div>
    <w:div w:id="1671063151">
      <w:bodyDiv w:val="1"/>
      <w:marLeft w:val="0"/>
      <w:marRight w:val="0"/>
      <w:marTop w:val="0"/>
      <w:marBottom w:val="0"/>
      <w:divBdr>
        <w:top w:val="none" w:sz="0" w:space="0" w:color="auto"/>
        <w:left w:val="none" w:sz="0" w:space="0" w:color="auto"/>
        <w:bottom w:val="none" w:sz="0" w:space="0" w:color="auto"/>
        <w:right w:val="none" w:sz="0" w:space="0" w:color="auto"/>
      </w:divBdr>
    </w:div>
    <w:div w:id="1714695562">
      <w:bodyDiv w:val="1"/>
      <w:marLeft w:val="0"/>
      <w:marRight w:val="0"/>
      <w:marTop w:val="0"/>
      <w:marBottom w:val="0"/>
      <w:divBdr>
        <w:top w:val="none" w:sz="0" w:space="0" w:color="auto"/>
        <w:left w:val="none" w:sz="0" w:space="0" w:color="auto"/>
        <w:bottom w:val="none" w:sz="0" w:space="0" w:color="auto"/>
        <w:right w:val="none" w:sz="0" w:space="0" w:color="auto"/>
      </w:divBdr>
    </w:div>
    <w:div w:id="173981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83BD3-140A-41E4-8B65-F1134CABD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5</Pages>
  <Words>5087</Words>
  <Characters>2901</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Darius</dc:creator>
  <cp:lastModifiedBy>Darius Jodzevičius</cp:lastModifiedBy>
  <cp:revision>20</cp:revision>
  <dcterms:created xsi:type="dcterms:W3CDTF">2026-08-27T09:44:00Z</dcterms:created>
  <dcterms:modified xsi:type="dcterms:W3CDTF">2026-10-05T13:35:00Z</dcterms:modified>
</cp:coreProperties>
</file>