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6D43BD3A" w:rsidR="00337888" w:rsidRPr="00B85B65" w:rsidRDefault="00D8064D" w:rsidP="00657B85">
      <w:pPr>
        <w:pStyle w:val="Heading2"/>
        <w:numPr>
          <w:ilvl w:val="0"/>
          <w:numId w:val="0"/>
        </w:numPr>
        <w:tabs>
          <w:tab w:val="left" w:pos="630"/>
        </w:tabs>
      </w:pPr>
      <w:r w:rsidRPr="00B85B65">
        <w:t xml:space="preserve">3.1.1. </w:t>
      </w:r>
      <w:r w:rsidR="00657B85">
        <w:t xml:space="preserve">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1F76AA96" w:rsidR="00415F2C" w:rsidRPr="00B85B65" w:rsidRDefault="00D8064D" w:rsidP="00F8445C">
      <w:pPr>
        <w:pStyle w:val="Heading2"/>
        <w:numPr>
          <w:ilvl w:val="0"/>
          <w:numId w:val="0"/>
        </w:numPr>
      </w:pPr>
      <w:r w:rsidRPr="00B85B65">
        <w:t xml:space="preserve">3.1.3. </w:t>
      </w:r>
      <w:r w:rsidR="00657B85">
        <w:t xml:space="preserve">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429CD7E2" w:rsidR="007753AB" w:rsidRPr="00B85B65" w:rsidRDefault="00EF3B2D" w:rsidP="00657B85">
      <w:pPr>
        <w:pStyle w:val="Heading2"/>
        <w:numPr>
          <w:ilvl w:val="0"/>
          <w:numId w:val="0"/>
        </w:numPr>
        <w:tabs>
          <w:tab w:val="left" w:pos="630"/>
        </w:tabs>
      </w:pPr>
      <w:r w:rsidRPr="00B85B65">
        <w:t>3.1.4.</w:t>
      </w:r>
      <w:r w:rsidR="00657B85">
        <w:t xml:space="preserve">    </w:t>
      </w:r>
      <w:r w:rsidRPr="00B85B65">
        <w:t xml:space="preserve"> </w:t>
      </w:r>
      <w:r w:rsidR="007753AB" w:rsidRPr="00B85B65">
        <w:t xml:space="preserve">Užtikrinti Prekių pasiūlą visą </w:t>
      </w:r>
      <w:r w:rsidR="00EA0F80" w:rsidRPr="00B85B65">
        <w:t>Pirkimo</w:t>
      </w:r>
      <w:r w:rsidR="005A4F28" w:rsidRPr="00B85B65">
        <w:t xml:space="preserve"> sutarties galiojimo laikotarpį;</w:t>
      </w:r>
    </w:p>
    <w:p w14:paraId="70970475" w14:textId="7070CA06" w:rsidR="00337888" w:rsidRPr="00B85B65" w:rsidRDefault="00EF3B2D" w:rsidP="00657B85">
      <w:pPr>
        <w:pStyle w:val="Heading2"/>
        <w:numPr>
          <w:ilvl w:val="0"/>
          <w:numId w:val="0"/>
        </w:numPr>
        <w:tabs>
          <w:tab w:val="left" w:pos="630"/>
        </w:tabs>
      </w:pPr>
      <w:r w:rsidRPr="00B85B65">
        <w:t xml:space="preserve">3.1.5. </w:t>
      </w:r>
      <w:r w:rsidR="00657B85">
        <w:t xml:space="preserve">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2E27A51D" w:rsidR="003153D3" w:rsidRDefault="00EF3B2D" w:rsidP="00657B85">
      <w:pPr>
        <w:pStyle w:val="Heading2"/>
        <w:numPr>
          <w:ilvl w:val="0"/>
          <w:numId w:val="0"/>
        </w:numPr>
        <w:tabs>
          <w:tab w:val="left" w:pos="630"/>
        </w:tabs>
      </w:pPr>
      <w:r w:rsidRPr="00B85B65">
        <w:t xml:space="preserve">3.1.6. </w:t>
      </w:r>
      <w:r w:rsidR="00657B85">
        <w:t xml:space="preserve">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06F4F9A" w14:textId="0BC72DFD" w:rsidR="00C15841" w:rsidRPr="00C15841" w:rsidRDefault="00C15841" w:rsidP="00C15841">
      <w:pPr>
        <w:tabs>
          <w:tab w:val="left" w:pos="270"/>
          <w:tab w:val="left" w:pos="360"/>
        </w:tabs>
        <w:outlineLvl w:val="1"/>
        <w:rPr>
          <w:rFonts w:ascii="Times New Roman" w:hAnsi="Times New Roman"/>
          <w:szCs w:val="16"/>
        </w:rPr>
      </w:pPr>
      <w:r w:rsidRPr="00C15841">
        <w:rPr>
          <w:rFonts w:ascii="Times New Roman" w:hAnsi="Times New Roman"/>
          <w:bCs/>
          <w:iCs/>
          <w:color w:val="000000"/>
          <w:szCs w:val="16"/>
        </w:rPr>
        <w:t xml:space="preserve">3.1.7. </w:t>
      </w:r>
      <w:r>
        <w:rPr>
          <w:rFonts w:ascii="Times New Roman" w:hAnsi="Times New Roman"/>
          <w:bCs/>
          <w:iCs/>
          <w:color w:val="000000"/>
          <w:szCs w:val="16"/>
        </w:rPr>
        <w:t xml:space="preserve">    </w:t>
      </w:r>
      <w:r w:rsidRPr="00C15841">
        <w:rPr>
          <w:rFonts w:ascii="Times New Roman" w:hAnsi="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xml:space="preserve"> dalies 3 nuostatos taikymo, </w:t>
      </w:r>
      <w:r w:rsidRPr="00C15841">
        <w:rPr>
          <w:rFonts w:ascii="Times New Roman" w:hAnsi="Times New Roman"/>
          <w:bCs/>
          <w:iCs/>
          <w:color w:val="000000"/>
          <w:szCs w:val="16"/>
        </w:rPr>
        <w:t xml:space="preserve">užtikrinti, kad pristatomų Prekių (jų sudėtinių dalių) kilmės šalis nėra iš </w:t>
      </w:r>
      <w:r w:rsidRPr="00C15841">
        <w:rPr>
          <w:rFonts w:ascii="Times New Roman" w:hAnsi="Times New Roman"/>
          <w:color w:val="000000"/>
          <w:shd w:val="clear" w:color="auto" w:fill="FFFFFF"/>
        </w:rPr>
        <w:t xml:space="preserve">valstybių ar teritorijų, nurodytų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dalies 3 punkte</w:t>
      </w:r>
      <w:r w:rsidRPr="00C15841">
        <w:rPr>
          <w:rFonts w:ascii="Times New Roman" w:hAnsi="Times New Roman"/>
          <w:bCs/>
          <w:iCs/>
          <w:color w:val="000000"/>
          <w:szCs w:val="16"/>
        </w:rPr>
        <w:t xml:space="preserve">. </w:t>
      </w:r>
      <w:r w:rsidRPr="00C15841">
        <w:rPr>
          <w:rFonts w:ascii="Times New Roman" w:hAnsi="Times New Roman"/>
          <w:szCs w:val="16"/>
        </w:rPr>
        <w:t xml:space="preserve"> </w:t>
      </w:r>
    </w:p>
    <w:p w14:paraId="594DB982" w14:textId="77120EC5" w:rsidR="00C15841" w:rsidRPr="00C15841" w:rsidRDefault="00C15841" w:rsidP="00C15841">
      <w:pPr>
        <w:outlineLvl w:val="1"/>
        <w:rPr>
          <w:rFonts w:ascii="Times New Roman" w:hAnsi="Times New Roman"/>
          <w:szCs w:val="16"/>
        </w:rPr>
      </w:pPr>
      <w:r w:rsidRPr="00C15841">
        <w:rPr>
          <w:rFonts w:ascii="Times New Roman" w:hAnsi="Times New Roman"/>
          <w:szCs w:val="16"/>
        </w:rPr>
        <w:t xml:space="preserve">3.1.8. </w:t>
      </w:r>
      <w:r w:rsidR="00136940">
        <w:rPr>
          <w:rFonts w:ascii="Times New Roman" w:hAnsi="Times New Roman"/>
          <w:szCs w:val="16"/>
        </w:rPr>
        <w:t xml:space="preserve">   </w:t>
      </w:r>
      <w:r w:rsidRPr="00C15841">
        <w:rPr>
          <w:rFonts w:ascii="Times New Roman" w:hAnsi="Times New Roman"/>
          <w:szCs w:val="16"/>
        </w:rPr>
        <w:t xml:space="preserve">Užsakovui pareikalavus, užtikrinti, kad pristatomų Prekių pakuočių kilmės šalis </w:t>
      </w:r>
      <w:r w:rsidRPr="00C15841">
        <w:rPr>
          <w:rFonts w:ascii="Times New Roman" w:hAnsi="Times New Roman"/>
          <w:bCs/>
          <w:iCs/>
          <w:color w:val="000000"/>
          <w:szCs w:val="16"/>
        </w:rPr>
        <w:t xml:space="preserve">nėra iš </w:t>
      </w:r>
      <w:r w:rsidRPr="00C15841">
        <w:rPr>
          <w:rFonts w:ascii="Times New Roman" w:hAnsi="Times New Roman"/>
          <w:color w:val="000000"/>
          <w:shd w:val="clear" w:color="auto" w:fill="FFFFFF"/>
        </w:rPr>
        <w:t xml:space="preserve">valstybių ar teritorijų, nurodytų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C15841">
        <w:rPr>
          <w:rFonts w:ascii="Times New Roman" w:hAnsi="Times New Roman"/>
          <w:bCs/>
          <w:iCs/>
          <w:color w:val="000000"/>
          <w:szCs w:val="16"/>
        </w:rPr>
        <w:t xml:space="preserve">. </w:t>
      </w:r>
      <w:r w:rsidRPr="00C15841">
        <w:rPr>
          <w:rFonts w:ascii="Times New Roman" w:hAnsi="Times New Roman"/>
          <w:szCs w:val="16"/>
        </w:rPr>
        <w:t xml:space="preserve"> </w:t>
      </w: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0ACD84EB" w:rsidR="00C8596D"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27FEE61" w:rsidR="000D2B57" w:rsidRDefault="000D2B57" w:rsidP="00F8445C">
      <w:pPr>
        <w:pStyle w:val="Heading2"/>
        <w:numPr>
          <w:ilvl w:val="2"/>
          <w:numId w:val="22"/>
        </w:numPr>
      </w:pPr>
      <w:r w:rsidRPr="00B85B65">
        <w:t>Pirkimo sutartyje nustatyta tvarka tiesiogi</w:t>
      </w:r>
      <w:r w:rsidR="005A4F28" w:rsidRPr="00B85B65">
        <w:t>ai atsiskaityti su subtiekėjais;</w:t>
      </w:r>
    </w:p>
    <w:p w14:paraId="70E8C153" w14:textId="09E84A5E" w:rsidR="00136940" w:rsidRDefault="00136940" w:rsidP="00D6565E">
      <w:pPr>
        <w:tabs>
          <w:tab w:val="left" w:pos="540"/>
          <w:tab w:val="left" w:pos="630"/>
        </w:tabs>
        <w:rPr>
          <w:rFonts w:ascii="Times New Roman" w:hAnsi="Times New Roman"/>
          <w:bCs/>
          <w:szCs w:val="16"/>
        </w:rPr>
      </w:pPr>
      <w:r w:rsidRPr="00136940">
        <w:rPr>
          <w:rFonts w:ascii="Times New Roman" w:hAnsi="Times New Roman"/>
        </w:rPr>
        <w:t>3.5.6</w:t>
      </w:r>
      <w:r>
        <w:rPr>
          <w:rFonts w:ascii="Times New Roman" w:hAnsi="Times New Roman"/>
        </w:rPr>
        <w:t>.</w:t>
      </w:r>
      <w:r>
        <w:rPr>
          <w:rFonts w:ascii="Times New Roman" w:hAnsi="Times New Roman"/>
        </w:rPr>
        <w:tab/>
      </w:r>
      <w:r w:rsidR="00D6565E">
        <w:rPr>
          <w:rFonts w:ascii="Times New Roman" w:hAnsi="Times New Roman"/>
        </w:rPr>
        <w:t>P</w:t>
      </w:r>
      <w:r w:rsidRPr="00136940">
        <w:rPr>
          <w:rFonts w:ascii="Times New Roman" w:hAnsi="Times New Roman"/>
          <w:bCs/>
          <w:szCs w:val="16"/>
        </w:rPr>
        <w:t xml:space="preserve">rašyti Tiekėjo pateikti informaciją ir/ar dokumentus, kurie </w:t>
      </w:r>
      <w:r w:rsidRPr="00D6565E">
        <w:rPr>
          <w:rFonts w:ascii="Times New Roman" w:hAnsi="Times New Roman"/>
          <w:bCs/>
          <w:szCs w:val="16"/>
        </w:rPr>
        <w:t>įrodytų Prekės (jos sudėtinių dalių) a</w:t>
      </w:r>
      <w:r w:rsidRPr="00136940">
        <w:rPr>
          <w:rFonts w:ascii="Times New Roman" w:hAnsi="Times New Roman"/>
          <w:bCs/>
          <w:szCs w:val="16"/>
        </w:rPr>
        <w:t xml:space="preserve">titikimą Pirkimo sutarties </w:t>
      </w:r>
      <w:r w:rsidRPr="00D6565E">
        <w:rPr>
          <w:rFonts w:ascii="Times New Roman" w:hAnsi="Times New Roman"/>
          <w:bCs/>
          <w:szCs w:val="16"/>
        </w:rPr>
        <w:t>3.1.</w:t>
      </w:r>
      <w:r w:rsidR="00D6565E" w:rsidRPr="00D6565E">
        <w:rPr>
          <w:rFonts w:ascii="Times New Roman" w:hAnsi="Times New Roman"/>
          <w:bCs/>
          <w:szCs w:val="16"/>
        </w:rPr>
        <w:t>7.</w:t>
      </w:r>
      <w:r w:rsidRPr="00D6565E">
        <w:rPr>
          <w:rFonts w:ascii="Times New Roman" w:hAnsi="Times New Roman"/>
          <w:bCs/>
          <w:szCs w:val="16"/>
        </w:rPr>
        <w:t xml:space="preserve"> ir 3.1.</w:t>
      </w:r>
      <w:r w:rsidR="00D6565E" w:rsidRPr="00D6565E">
        <w:rPr>
          <w:rFonts w:ascii="Times New Roman" w:hAnsi="Times New Roman"/>
          <w:bCs/>
          <w:szCs w:val="16"/>
        </w:rPr>
        <w:t>8</w:t>
      </w:r>
      <w:r w:rsidRPr="00D6565E">
        <w:rPr>
          <w:rFonts w:ascii="Times New Roman" w:hAnsi="Times New Roman"/>
          <w:bCs/>
          <w:szCs w:val="16"/>
        </w:rPr>
        <w:t>.</w:t>
      </w:r>
      <w:r w:rsidRPr="00136940">
        <w:rPr>
          <w:rFonts w:ascii="Times New Roman" w:hAnsi="Times New Roman"/>
          <w:bCs/>
          <w:szCs w:val="16"/>
        </w:rPr>
        <w:t xml:space="preserve"> reikalavimams.</w:t>
      </w:r>
    </w:p>
    <w:p w14:paraId="2F79ACC0" w14:textId="469F6A1E" w:rsidR="00D6565E" w:rsidRPr="00D6565E" w:rsidRDefault="00D6565E" w:rsidP="00D6565E">
      <w:pPr>
        <w:tabs>
          <w:tab w:val="left" w:pos="540"/>
          <w:tab w:val="left" w:pos="630"/>
        </w:tabs>
        <w:rPr>
          <w:rFonts w:ascii="Times New Roman" w:hAnsi="Times New Roman"/>
        </w:rPr>
      </w:pPr>
      <w:r>
        <w:rPr>
          <w:rFonts w:ascii="Times New Roman" w:hAnsi="Times New Roman"/>
        </w:rPr>
        <w:t>3.5.7.</w:t>
      </w:r>
      <w:r>
        <w:rPr>
          <w:rFonts w:ascii="Times New Roman" w:hAnsi="Times New Roman"/>
        </w:rPr>
        <w:tab/>
      </w:r>
      <w:r w:rsidRPr="00D6565E">
        <w:rPr>
          <w:rFonts w:ascii="Times New Roman" w:hAnsi="Times New Roman"/>
          <w:bCs/>
          <w:szCs w:val="16"/>
        </w:rPr>
        <w:t>Nustačius, kad Prekės (jų sudėtinės dalys, kai taikoma – pakuotės) neatitinka Pirkimo sutarties 3.1.7. ir 3.1.8. punktų nuostatų, reikalauti Tiekėjo pakeisti Prekes į atitinkančias.</w:t>
      </w:r>
    </w:p>
    <w:p w14:paraId="72F2ED72" w14:textId="0F895230" w:rsidR="00393C2A" w:rsidRPr="00B85B65" w:rsidRDefault="006742D4" w:rsidP="00F8445C">
      <w:pPr>
        <w:pStyle w:val="Heading2"/>
        <w:numPr>
          <w:ilvl w:val="0"/>
          <w:numId w:val="0"/>
        </w:numPr>
      </w:pPr>
      <w:r w:rsidRPr="00B85B65">
        <w:t xml:space="preserve">3.6. </w:t>
      </w:r>
      <w:r w:rsidR="00657B85">
        <w:t xml:space="preserve">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C2FFB25" w:rsidR="000B4C19" w:rsidRPr="00B85B65" w:rsidRDefault="00990762" w:rsidP="00A13732">
      <w:pPr>
        <w:pStyle w:val="Heading2"/>
      </w:pPr>
      <w:r w:rsidRPr="00B85B65">
        <w:lastRenderedPageBreak/>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9D0459">
        <w:t xml:space="preserve">mažesnė nei </w:t>
      </w:r>
      <w:r w:rsidR="00657B85" w:rsidRPr="009D0459">
        <w:t>1</w:t>
      </w:r>
      <w:r w:rsidR="004D1AB4" w:rsidRPr="009D0459">
        <w:t>0</w:t>
      </w:r>
      <w:r w:rsidR="00F233F7" w:rsidRPr="009D0459">
        <w:t>0 (</w:t>
      </w:r>
      <w:r w:rsidR="00657B85" w:rsidRPr="009D0459">
        <w:t>vienas šimtas</w:t>
      </w:r>
      <w:r w:rsidR="00F233F7" w:rsidRPr="009D0459">
        <w:t>) eurų</w:t>
      </w:r>
      <w:r w:rsidR="00F233F7" w:rsidRPr="00B85B65">
        <w:t>, išskyrus atvejus:</w:t>
      </w:r>
      <w:r w:rsidR="000B4C19" w:rsidRPr="00B85B65">
        <w:t xml:space="preserve"> </w:t>
      </w:r>
    </w:p>
    <w:p w14:paraId="219DF194" w14:textId="0BF5E971" w:rsidR="000B4C19" w:rsidRPr="00B85B65" w:rsidRDefault="000B4C19" w:rsidP="00F8445C">
      <w:pPr>
        <w:pStyle w:val="Heading2"/>
        <w:numPr>
          <w:ilvl w:val="2"/>
          <w:numId w:val="13"/>
        </w:numPr>
      </w:pPr>
      <w:r w:rsidRPr="00B85B65">
        <w:t xml:space="preserve">kai visa sutarties vertė mažesnė nei </w:t>
      </w:r>
      <w:r w:rsidR="00657B85">
        <w:t>1</w:t>
      </w:r>
      <w:r w:rsidR="009D0459">
        <w:t>0</w:t>
      </w:r>
      <w:r w:rsidRPr="00B85B65">
        <w:t xml:space="preserve">0 </w:t>
      </w:r>
      <w:bookmarkStart w:id="1" w:name="_Hlk62051148"/>
      <w:r w:rsidRPr="00B85B65">
        <w:t>(</w:t>
      </w:r>
      <w:r w:rsidR="00657B85">
        <w:t>vienas šimtas</w:t>
      </w:r>
      <w:r w:rsidRPr="00B85B65">
        <w:t xml:space="preserve">) </w:t>
      </w:r>
      <w:bookmarkEnd w:id="1"/>
      <w:r w:rsidRPr="00B85B65">
        <w:t xml:space="preserve">eurų – tokiu atveju užsakomos visos Pagrindinėje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241EFE93" w14:textId="159FF419" w:rsidR="00657B85" w:rsidRDefault="000B4C19" w:rsidP="00657B85">
      <w:pPr>
        <w:pStyle w:val="Heading2"/>
        <w:numPr>
          <w:ilvl w:val="2"/>
          <w:numId w:val="13"/>
        </w:numPr>
      </w:pPr>
      <w:r w:rsidRPr="00B85B65">
        <w:t xml:space="preserve">kai dėl mažesnės </w:t>
      </w:r>
      <w:r w:rsidRPr="009D0459">
        <w:t xml:space="preserve">nei </w:t>
      </w:r>
      <w:r w:rsidR="00657B85" w:rsidRPr="009D0459">
        <w:t>1</w:t>
      </w:r>
      <w:r w:rsidR="00F85D7E" w:rsidRPr="009D0459">
        <w:t>0</w:t>
      </w:r>
      <w:r w:rsidRPr="009D0459">
        <w:t>0</w:t>
      </w:r>
      <w:r w:rsidR="00657B85" w:rsidRPr="009D0459">
        <w:t xml:space="preserve"> (vienas šimtas)</w:t>
      </w:r>
      <w:r w:rsidRPr="009D0459">
        <w:t xml:space="preserve"> eurų</w:t>
      </w:r>
      <w:r w:rsidRPr="00B85B65">
        <w:t xml:space="preserve"> užsakymo vertės Šalys susitaria abipusiu Šalių sutarimu.</w:t>
      </w:r>
    </w:p>
    <w:p w14:paraId="72D1C1EE" w14:textId="73415F4B" w:rsidR="00657B85" w:rsidRPr="00657B85" w:rsidRDefault="00FB32F4" w:rsidP="0007354E">
      <w:pPr>
        <w:pStyle w:val="Heading2"/>
      </w:pPr>
      <w:r w:rsidRPr="00657B85">
        <w:t>Prekių pristatymo terminas</w:t>
      </w:r>
      <w:r w:rsidR="00E65F5C">
        <w:t xml:space="preserve"> ne ilgiau kaip</w:t>
      </w:r>
      <w:r w:rsidRPr="00657B85">
        <w:t xml:space="preserve">: </w:t>
      </w:r>
      <w:r w:rsidR="00657B85" w:rsidRPr="00657B85">
        <w:t>terminas [</w:t>
      </w:r>
      <w:r w:rsidR="00657B85" w:rsidRPr="0007354E">
        <w:rPr>
          <w:highlight w:val="lightGray"/>
        </w:rPr>
        <w:t>nuo 2 iki 10 darbo dienų</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AF57AB">
        <w:rPr>
          <w:highlight w:val="lightGray"/>
        </w:rPr>
        <w:t>20</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3F537F83" w:rsidR="003F7C02" w:rsidRPr="00B85B65" w:rsidRDefault="00FB32F4" w:rsidP="00515FB5">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515FB5">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F8445C">
      <w:pPr>
        <w:pStyle w:val="Heading2"/>
      </w:pPr>
      <w:r w:rsidRPr="009D0459">
        <w:t>Iki Prekių priėmimo visa atsakomybė dėl Prekių atsitiktinio žuvimo ar sugadinimo tenka Tiekėjui.</w:t>
      </w:r>
    </w:p>
    <w:p w14:paraId="026CBA5A" w14:textId="30B0E18E" w:rsidR="00BF53B8" w:rsidRPr="009D0459" w:rsidRDefault="005E4FD3" w:rsidP="00E97D4E">
      <w:pPr>
        <w:pStyle w:val="Heading2"/>
      </w:pPr>
      <w:r w:rsidRPr="00E97D4E">
        <w:t>Tiekėjas pristato</w:t>
      </w:r>
      <w:r w:rsidR="00AB6EEE" w:rsidRPr="00E97D4E">
        <w:t xml:space="preserve"> </w:t>
      </w:r>
      <w:r w:rsidR="00EA0F80" w:rsidRPr="00E97D4E">
        <w:t>Pirkimo</w:t>
      </w:r>
      <w:r w:rsidR="00AB6EEE" w:rsidRPr="00E97D4E">
        <w:t xml:space="preserve"> sutarties priede nurodytos Prekių techninės specifikacijos reikalavimus atitinkančias,</w:t>
      </w:r>
      <w:r w:rsidRPr="00E97D4E">
        <w:t xml:space="preserve"> naujas, nenaudotas, neturinčias paslėptų trūkumų bei defektų Prekes, nepažeistoje gamintojo pakuotėje</w:t>
      </w:r>
      <w:r w:rsidR="00BF53B8" w:rsidRPr="00C758ED">
        <w:t xml:space="preserve">. </w:t>
      </w:r>
      <w:r w:rsidR="00423D9A" w:rsidRPr="00C758ED">
        <w:rPr>
          <w:shd w:val="clear" w:color="auto" w:fill="FFFFFF"/>
        </w:rPr>
        <w:t>Tretinė (transportavimo)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w:t>
      </w:r>
      <w:r w:rsidR="00423D9A" w:rsidRPr="00C758ED">
        <w:rPr>
          <w:b/>
          <w:bCs w:val="0"/>
          <w:shd w:val="clear" w:color="auto" w:fill="FFFFFF"/>
        </w:rPr>
        <w:t xml:space="preserve"> </w:t>
      </w:r>
      <w:r w:rsidR="00423D9A" w:rsidRPr="00C758ED">
        <w:rPr>
          <w:shd w:val="clear" w:color="auto" w:fill="FFFFFF"/>
        </w:rPr>
        <w:t>tretinę (transportavimo) pakuotę).</w:t>
      </w:r>
      <w:r w:rsidR="00423D9A" w:rsidRPr="00C758ED">
        <w:rPr>
          <w:rFonts w:ascii="Tahoma" w:hAnsi="Tahoma" w:cs="Tahoma"/>
          <w:shd w:val="clear" w:color="auto" w:fill="FFFFFF"/>
        </w:rPr>
        <w:t> </w:t>
      </w:r>
      <w:r w:rsidR="0007354E" w:rsidRPr="009D0459">
        <w:t>Prekės turi būti pristatomos su nurodytais galiojimo terminais ir visa būtina dokumentacija (jei taikoma – saugos duomenų lapais), įskaitant Prekių naudojimo instrukciją lietuvių ir (arba)</w:t>
      </w:r>
      <w:r w:rsidR="00E6109C">
        <w:t xml:space="preserve"> </w:t>
      </w:r>
      <w:r w:rsidR="0007354E" w:rsidRPr="009D0459">
        <w:t>anglų kalbomis.</w:t>
      </w:r>
      <w:r w:rsidR="00E97D4E">
        <w:t xml:space="preserve"> </w:t>
      </w:r>
    </w:p>
    <w:p w14:paraId="2035AE18" w14:textId="77777777" w:rsidR="003F7C02" w:rsidRPr="009D0459" w:rsidRDefault="009C6EDF" w:rsidP="00F8445C">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F8445C">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F8445C">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F371A">
        <w:rPr>
          <w:strike/>
          <w:highlight w:val="yellow"/>
          <w:shd w:val="clear" w:color="auto" w:fill="FFFFFF"/>
        </w:rPr>
        <w:t>su peržiūra</w:t>
      </w:r>
      <w:r w:rsidR="001672A5" w:rsidRPr="00B85B65">
        <w:rPr>
          <w:shd w:val="clear" w:color="auto" w:fill="FFFFFF"/>
        </w:rPr>
        <w:t xml:space="preserve">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w:t>
      </w:r>
      <w:r w:rsidRPr="00BF371A">
        <w:rPr>
          <w:strike/>
          <w:highlight w:val="yellow"/>
          <w:shd w:val="clear" w:color="auto" w:fill="FFFFFF"/>
        </w:rPr>
        <w:t>tik</w:t>
      </w:r>
      <w:r w:rsidRPr="00B85B65">
        <w:rPr>
          <w:shd w:val="clear" w:color="auto" w:fill="FFFFFF"/>
        </w:rPr>
        <w:t xml:space="preserve"> pasikeitus pridėtinės vertės mokesčio (PVM) tarifui. Naujas PVM tarifas taikomas visoms po oficialaus naujo PVM tarifo įsigaliojimo momento pristatomoms Prekėms.</w:t>
      </w:r>
    </w:p>
    <w:p w14:paraId="25135733" w14:textId="0039203D" w:rsidR="00AC6F01" w:rsidRDefault="00BF371A" w:rsidP="00F8445C">
      <w:pPr>
        <w:pStyle w:val="Heading2"/>
      </w:pPr>
      <w:r w:rsidRPr="00546E6E">
        <w:rPr>
          <w:highlight w:val="yellow"/>
        </w:rPr>
        <w:t xml:space="preserve">Bet kuri Pirkimo sutarties Šalis </w:t>
      </w:r>
      <w:r w:rsidRPr="00095126">
        <w:rPr>
          <w:highlight w:val="yellow"/>
        </w:rPr>
        <w:t xml:space="preserve">Pirkimo sutarties galiojimo metu turi teisę inicijuoti Pirkimo sutartyje numatytų įkainių perskaičiavimą (keitimą) ne anksčiau kaip po </w:t>
      </w:r>
      <w:r>
        <w:rPr>
          <w:highlight w:val="yellow"/>
        </w:rPr>
        <w:t>6</w:t>
      </w:r>
      <w:r w:rsidRPr="00095126">
        <w:rPr>
          <w:highlight w:val="yellow"/>
        </w:rPr>
        <w:t xml:space="preserve"> (</w:t>
      </w:r>
      <w:r>
        <w:rPr>
          <w:highlight w:val="yellow"/>
        </w:rPr>
        <w:t>šešių</w:t>
      </w:r>
      <w:r w:rsidRPr="00095126">
        <w:rPr>
          <w:highlight w:val="yellow"/>
        </w:rPr>
        <w:t xml:space="preserve">) mėnesių nuo Pirkimo sutarties sudarymo dienos (jeigu perskaičiavimas jau buvo atliktas – nuo paskutinio perskaičiavimo pagal šį punktą dienos), jeigu </w:t>
      </w:r>
      <w:r w:rsidRPr="00BF371A">
        <w:rPr>
          <w:highlight w:val="yellow"/>
        </w:rPr>
        <w:t>(06 Sveikata) vartotojų kainų</w:t>
      </w:r>
      <w:r w:rsidRPr="00095126">
        <w:rPr>
          <w:highlight w:val="yellow"/>
        </w:rPr>
        <w:t xml:space="preserve"> pokytis (k), apskaičiuotas kaip nustatyta </w:t>
      </w:r>
      <w:r w:rsidR="00615202">
        <w:rPr>
          <w:highlight w:val="yellow"/>
        </w:rPr>
        <w:t>5</w:t>
      </w:r>
      <w:r>
        <w:rPr>
          <w:highlight w:val="yellow"/>
        </w:rPr>
        <w:t>.6.3</w:t>
      </w:r>
      <w:r w:rsidRPr="00095126">
        <w:rPr>
          <w:highlight w:val="yellow"/>
        </w:rPr>
        <w:t xml:space="preserve">. punkte, viršija </w:t>
      </w:r>
      <w:r>
        <w:rPr>
          <w:highlight w:val="yellow"/>
        </w:rPr>
        <w:t>3</w:t>
      </w:r>
      <w:r w:rsidRPr="00095126">
        <w:rPr>
          <w:highlight w:val="yellow"/>
        </w:rPr>
        <w:t xml:space="preserve"> </w:t>
      </w:r>
      <w:r>
        <w:rPr>
          <w:highlight w:val="yellow"/>
        </w:rPr>
        <w:t xml:space="preserve">(tris) </w:t>
      </w:r>
      <w:r w:rsidRPr="00095126">
        <w:rPr>
          <w:highlight w:val="yellow"/>
        </w:rPr>
        <w:t xml:space="preserve">procentus. Įkainių perskaičiavimas (keitimas) gali būti inicijuojamas ne dažniau kaip kas </w:t>
      </w:r>
      <w:r>
        <w:rPr>
          <w:highlight w:val="yellow"/>
        </w:rPr>
        <w:t>6</w:t>
      </w:r>
      <w:r>
        <w:rPr>
          <w:highlight w:val="yellow"/>
        </w:rPr>
        <w:t xml:space="preserve"> (šešis)</w:t>
      </w:r>
      <w:r w:rsidRPr="00095126">
        <w:rPr>
          <w:highlight w:val="yellow"/>
        </w:rPr>
        <w:t xml:space="preserve"> mėn</w:t>
      </w:r>
      <w:r>
        <w:rPr>
          <w:highlight w:val="yellow"/>
        </w:rPr>
        <w:t xml:space="preserve">esius </w:t>
      </w:r>
      <w:r w:rsidRPr="00095126">
        <w:rPr>
          <w:highlight w:val="yellow"/>
        </w:rPr>
        <w:t>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FE928A7" w14:textId="7180E096"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.6.1. Šalys privalo susitarime nurodyti indekso reikšmę laikotarpio pradžioje ir jos nustatymo datą, indekso reikšmę laikotarpio pabaigoje ir jos nustatymo datą, kainų pokytį (k), perskaičiuotus įkainius, perskaičiuotą pradinę Pirkimo sutarties vertę.</w:t>
      </w:r>
    </w:p>
    <w:p w14:paraId="4EC949A3" w14:textId="1A47436C"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.6.2. Perskaičiuotieji įkainiai taikomi užsakymams, pateiktiems po to, kai Šalys sudaro susitarimą dėl įkainių perskaičiavimo.</w:t>
      </w:r>
    </w:p>
    <w:p w14:paraId="1B1ACA2F" w14:textId="7C09B0DA"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.6.3. Nauji įkainiai apskaičiuojami pagal formulę:</w:t>
      </w:r>
    </w:p>
    <w:p w14:paraId="6DCB29FD" w14:textId="77777777" w:rsidR="00BF371A" w:rsidRPr="00BF371A" w:rsidRDefault="00BF371A" w:rsidP="00BF371A">
      <w:pPr>
        <w:spacing w:after="0"/>
        <w:rPr>
          <w:rFonts w:ascii="Times New Roman" w:hAnsi="Times New Roman"/>
          <w:bCs/>
          <w:iCs/>
          <w:szCs w:val="16"/>
          <w:highlight w:val="yellow"/>
        </w:rPr>
      </w:pPr>
    </w:p>
    <w:p w14:paraId="2616C29A" w14:textId="77777777" w:rsidR="00BF371A" w:rsidRPr="00BF371A" w:rsidRDefault="00BF371A" w:rsidP="00BF371A">
      <w:pPr>
        <w:spacing w:after="0"/>
        <w:rPr>
          <w:rFonts w:ascii="Times New Roman" w:hAnsi="Times New Roman"/>
          <w:bCs/>
          <w:iCs/>
          <w:szCs w:val="16"/>
          <w:highlight w:val="yellow"/>
        </w:rPr>
      </w:pPr>
      <w:bookmarkStart w:id="3" w:name="_Hlk107400072"/>
      <w:r w:rsidRPr="00BF371A">
        <w:rPr>
          <w:rFonts w:ascii="Times New Roman" w:hAnsi="Times New Roman"/>
          <w:bCs/>
          <w:iCs/>
          <w:szCs w:val="16"/>
          <w:highlight w:val="yellow"/>
        </w:rPr>
        <w:t>a1 = a + (k/100 x a), kur</w:t>
      </w:r>
    </w:p>
    <w:bookmarkEnd w:id="3"/>
    <w:p w14:paraId="523452CE" w14:textId="77777777" w:rsidR="00BF371A" w:rsidRPr="00BF371A" w:rsidRDefault="00BF371A" w:rsidP="00BF371A">
      <w:pPr>
        <w:spacing w:after="0"/>
        <w:rPr>
          <w:rFonts w:ascii="Times New Roman" w:hAnsi="Times New Roman"/>
          <w:bCs/>
          <w:iCs/>
          <w:szCs w:val="16"/>
          <w:highlight w:val="yellow"/>
        </w:rPr>
      </w:pPr>
    </w:p>
    <w:p w14:paraId="3C597FE7" w14:textId="77777777" w:rsidR="00BF371A" w:rsidRPr="00BF371A" w:rsidRDefault="00BF371A" w:rsidP="00BF371A">
      <w:pPr>
        <w:spacing w:after="0"/>
        <w:rPr>
          <w:rFonts w:ascii="Times New Roman" w:hAnsi="Times New Roman"/>
          <w:bCs/>
          <w:iCs/>
          <w:szCs w:val="16"/>
          <w:highlight w:val="yellow"/>
        </w:rPr>
      </w:pPr>
      <w:r w:rsidRPr="00BF371A">
        <w:rPr>
          <w:rFonts w:ascii="Times New Roman" w:hAnsi="Times New Roman"/>
          <w:bCs/>
          <w:iCs/>
          <w:szCs w:val="16"/>
          <w:highlight w:val="yellow"/>
        </w:rPr>
        <w:t>a – įkainis (Eur be PVM)) (jei jis jau buvo perskaičiuotas, tai po paskutinio perskaičiavimo).</w:t>
      </w:r>
    </w:p>
    <w:p w14:paraId="508C9D4E" w14:textId="77777777" w:rsidR="00BF371A" w:rsidRPr="00BF371A" w:rsidRDefault="00BF371A" w:rsidP="00BF371A">
      <w:pPr>
        <w:spacing w:after="0"/>
        <w:rPr>
          <w:rFonts w:ascii="Times New Roman" w:hAnsi="Times New Roman"/>
          <w:bCs/>
          <w:iCs/>
          <w:szCs w:val="16"/>
          <w:highlight w:val="yellow"/>
        </w:rPr>
      </w:pPr>
      <w:r w:rsidRPr="00BF371A">
        <w:rPr>
          <w:rFonts w:ascii="Times New Roman" w:hAnsi="Times New Roman"/>
          <w:bCs/>
          <w:iCs/>
          <w:szCs w:val="16"/>
          <w:highlight w:val="yellow"/>
        </w:rPr>
        <w:t>a1 – perskaičiuotas (pakeistas) įkainis (Eur be PVM)</w:t>
      </w:r>
    </w:p>
    <w:p w14:paraId="3D7B91C0" w14:textId="77777777" w:rsidR="00BF371A" w:rsidRPr="00BF371A" w:rsidRDefault="00BF371A" w:rsidP="00BF371A">
      <w:pPr>
        <w:spacing w:after="0"/>
        <w:rPr>
          <w:rFonts w:ascii="Times New Roman" w:hAnsi="Times New Roman"/>
          <w:bCs/>
          <w:iCs/>
          <w:szCs w:val="16"/>
          <w:highlight w:val="yellow"/>
        </w:rPr>
      </w:pPr>
      <w:r w:rsidRPr="00BF371A">
        <w:rPr>
          <w:rFonts w:ascii="Times New Roman" w:hAnsi="Times New Roman"/>
          <w:bCs/>
          <w:iCs/>
          <w:szCs w:val="16"/>
          <w:highlight w:val="yellow"/>
        </w:rPr>
        <w:t xml:space="preserve">k – Pagal (06 Sveikata) vartotojų kainų indeksą apskaičiuotas (06 Sveikata) vartotojų kainų pokytis (padidėjimas arba sumažėjimas) (%). „k“ reikšmė skaičiuojama pagal formulę: </w:t>
      </w:r>
    </w:p>
    <w:p w14:paraId="4893597A" w14:textId="77777777" w:rsidR="00BF371A" w:rsidRPr="00BF371A" w:rsidRDefault="00BF371A" w:rsidP="00BF371A">
      <w:pPr>
        <w:spacing w:after="0"/>
        <w:rPr>
          <w:rFonts w:ascii="Times New Roman" w:hAnsi="Times New Roman"/>
          <w:bCs/>
          <w:iCs/>
          <w:szCs w:val="16"/>
          <w:highlight w:val="yellow"/>
        </w:rPr>
      </w:pPr>
    </w:p>
    <w:p w14:paraId="57DC7848" w14:textId="4752CA01" w:rsidR="00BF371A" w:rsidRPr="00BF371A" w:rsidRDefault="00BF371A" w:rsidP="00BF371A">
      <w:pPr>
        <w:spacing w:after="0"/>
        <w:rPr>
          <w:rFonts w:ascii="Times New Roman" w:hAnsi="Times New Roman"/>
          <w:bCs/>
          <w:iCs/>
          <w:szCs w:val="16"/>
          <w:highlight w:val="yellow"/>
        </w:rPr>
      </w:pPr>
      <w:bookmarkStart w:id="4" w:name="_Hlk107400077"/>
      <w:r w:rsidRPr="00BF371A">
        <w:rPr>
          <w:rFonts w:ascii="Times New Roman" w:hAnsi="Times New Roman"/>
          <w:bCs/>
          <w:iCs/>
          <w:szCs w:val="16"/>
          <w:highlight w:val="yellow"/>
        </w:rPr>
        <w:t xml:space="preserve">k = </w:t>
      </w:r>
      <w:proofErr w:type="spellStart"/>
      <w:r w:rsidRPr="00BF371A">
        <w:rPr>
          <w:rFonts w:ascii="Times New Roman" w:hAnsi="Times New Roman"/>
          <w:bCs/>
          <w:iCs/>
          <w:szCs w:val="16"/>
          <w:highlight w:val="yellow"/>
        </w:rPr>
        <w:t>Ind</w:t>
      </w:r>
      <w:proofErr w:type="spellEnd"/>
      <w:r w:rsidR="00615202">
        <w:rPr>
          <w:rFonts w:ascii="Times New Roman" w:hAnsi="Times New Roman"/>
          <w:bCs/>
          <w:iCs/>
          <w:szCs w:val="16"/>
          <w:highlight w:val="yellow"/>
        </w:rPr>
        <w:t>(</w:t>
      </w:r>
      <w:r w:rsidRPr="00BF371A">
        <w:rPr>
          <w:rFonts w:ascii="Times New Roman" w:hAnsi="Times New Roman"/>
          <w:bCs/>
          <w:iCs/>
          <w:szCs w:val="16"/>
          <w:highlight w:val="yellow"/>
        </w:rPr>
        <w:t>naujausias</w:t>
      </w:r>
      <w:r w:rsidR="00615202">
        <w:rPr>
          <w:rFonts w:ascii="Times New Roman" w:hAnsi="Times New Roman"/>
          <w:bCs/>
          <w:iCs/>
          <w:szCs w:val="16"/>
          <w:highlight w:val="yellow"/>
        </w:rPr>
        <w:t>)</w:t>
      </w:r>
      <w:r w:rsidRPr="00BF371A">
        <w:rPr>
          <w:rFonts w:ascii="Times New Roman" w:hAnsi="Times New Roman"/>
          <w:bCs/>
          <w:iCs/>
          <w:szCs w:val="16"/>
          <w:highlight w:val="yellow"/>
        </w:rPr>
        <w:t xml:space="preserve"> / </w:t>
      </w:r>
      <w:proofErr w:type="spellStart"/>
      <w:r w:rsidRPr="00BF371A">
        <w:rPr>
          <w:rFonts w:ascii="Times New Roman" w:hAnsi="Times New Roman"/>
          <w:bCs/>
          <w:iCs/>
          <w:szCs w:val="16"/>
          <w:highlight w:val="yellow"/>
        </w:rPr>
        <w:t>Indpradžia</w:t>
      </w:r>
      <w:proofErr w:type="spellEnd"/>
      <w:r w:rsidRPr="00BF371A">
        <w:rPr>
          <w:rFonts w:ascii="Times New Roman" w:hAnsi="Times New Roman"/>
          <w:bCs/>
          <w:iCs/>
          <w:szCs w:val="16"/>
          <w:highlight w:val="yellow"/>
        </w:rPr>
        <w:t xml:space="preserve"> x 100 – 100 (proc.), kur</w:t>
      </w:r>
    </w:p>
    <w:bookmarkEnd w:id="4"/>
    <w:p w14:paraId="3FFF4FA0" w14:textId="77777777" w:rsidR="00BF371A" w:rsidRPr="00BF371A" w:rsidRDefault="00BF371A" w:rsidP="00BF371A">
      <w:pPr>
        <w:spacing w:after="0"/>
        <w:rPr>
          <w:rFonts w:ascii="Times New Roman" w:hAnsi="Times New Roman"/>
          <w:bCs/>
          <w:iCs/>
          <w:szCs w:val="16"/>
          <w:highlight w:val="yellow"/>
        </w:rPr>
      </w:pPr>
    </w:p>
    <w:p w14:paraId="409E956D" w14:textId="337CE4B7" w:rsidR="00BF371A" w:rsidRPr="00BF371A" w:rsidRDefault="00BF371A" w:rsidP="00BF371A">
      <w:pPr>
        <w:spacing w:after="0"/>
        <w:rPr>
          <w:rFonts w:ascii="Times New Roman" w:hAnsi="Times New Roman"/>
          <w:bCs/>
          <w:iCs/>
          <w:szCs w:val="16"/>
          <w:highlight w:val="yellow"/>
        </w:rPr>
      </w:pPr>
      <w:proofErr w:type="spellStart"/>
      <w:r w:rsidRPr="00BF371A">
        <w:rPr>
          <w:rFonts w:ascii="Times New Roman" w:hAnsi="Times New Roman"/>
          <w:bCs/>
          <w:iCs/>
          <w:szCs w:val="16"/>
          <w:highlight w:val="yellow"/>
        </w:rPr>
        <w:t>Ind</w:t>
      </w:r>
      <w:proofErr w:type="spellEnd"/>
      <w:r w:rsidR="00615202">
        <w:rPr>
          <w:rFonts w:ascii="Times New Roman" w:hAnsi="Times New Roman"/>
          <w:bCs/>
          <w:iCs/>
          <w:szCs w:val="16"/>
          <w:highlight w:val="yellow"/>
        </w:rPr>
        <w:t>(</w:t>
      </w:r>
      <w:r w:rsidRPr="00BF371A">
        <w:rPr>
          <w:rFonts w:ascii="Times New Roman" w:hAnsi="Times New Roman"/>
          <w:bCs/>
          <w:iCs/>
          <w:szCs w:val="16"/>
          <w:highlight w:val="yellow"/>
        </w:rPr>
        <w:t>naujausias</w:t>
      </w:r>
      <w:r w:rsidR="00615202">
        <w:rPr>
          <w:rFonts w:ascii="Times New Roman" w:hAnsi="Times New Roman"/>
          <w:bCs/>
          <w:iCs/>
          <w:szCs w:val="16"/>
          <w:highlight w:val="yellow"/>
        </w:rPr>
        <w:t>)</w:t>
      </w:r>
      <w:r w:rsidRPr="00BF371A">
        <w:rPr>
          <w:rFonts w:ascii="Times New Roman" w:hAnsi="Times New Roman"/>
          <w:bCs/>
          <w:iCs/>
          <w:szCs w:val="16"/>
          <w:highlight w:val="yellow"/>
        </w:rPr>
        <w:t xml:space="preserve"> – kreipimosi dėl kainos perskaičiavimo išsiuntimo kitai šaliai datą naujausias paskelbtas (06 Sveikata) vartotojų kainų indeksas.</w:t>
      </w:r>
    </w:p>
    <w:p w14:paraId="1ED74A72" w14:textId="31730299" w:rsidR="00BF371A" w:rsidRPr="00BF371A" w:rsidRDefault="00BF371A" w:rsidP="00BF371A">
      <w:pPr>
        <w:spacing w:after="0"/>
        <w:rPr>
          <w:rFonts w:ascii="Times New Roman" w:hAnsi="Times New Roman"/>
          <w:bCs/>
          <w:iCs/>
          <w:szCs w:val="16"/>
          <w:highlight w:val="yellow"/>
        </w:rPr>
      </w:pPr>
      <w:proofErr w:type="spellStart"/>
      <w:r w:rsidRPr="00BF371A">
        <w:rPr>
          <w:rFonts w:ascii="Times New Roman" w:hAnsi="Times New Roman"/>
          <w:bCs/>
          <w:iCs/>
          <w:szCs w:val="16"/>
          <w:highlight w:val="yellow"/>
        </w:rPr>
        <w:t>Ind</w:t>
      </w:r>
      <w:proofErr w:type="spellEnd"/>
      <w:r w:rsidR="00615202">
        <w:rPr>
          <w:rFonts w:ascii="Times New Roman" w:hAnsi="Times New Roman"/>
          <w:bCs/>
          <w:iCs/>
          <w:szCs w:val="16"/>
          <w:highlight w:val="yellow"/>
        </w:rPr>
        <w:t>(</w:t>
      </w:r>
      <w:r w:rsidRPr="00BF371A">
        <w:rPr>
          <w:rFonts w:ascii="Times New Roman" w:hAnsi="Times New Roman"/>
          <w:bCs/>
          <w:iCs/>
          <w:szCs w:val="16"/>
          <w:highlight w:val="yellow"/>
        </w:rPr>
        <w:t>pradžia</w:t>
      </w:r>
      <w:r w:rsidR="00615202">
        <w:rPr>
          <w:rFonts w:ascii="Times New Roman" w:hAnsi="Times New Roman"/>
          <w:bCs/>
          <w:iCs/>
          <w:szCs w:val="16"/>
          <w:highlight w:val="yellow"/>
        </w:rPr>
        <w:t>)</w:t>
      </w:r>
      <w:r w:rsidRPr="00BF371A">
        <w:rPr>
          <w:rFonts w:ascii="Times New Roman" w:hAnsi="Times New Roman"/>
          <w:bCs/>
          <w:iCs/>
          <w:szCs w:val="16"/>
          <w:highlight w:val="yellow"/>
        </w:rPr>
        <w:t xml:space="preserve"> – laikotarpio pradžios datos (mėnesio) (06 Sveikata)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44FB4B5" w14:textId="5C07878F"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0D44D8F" w14:textId="1B3AAD54"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.6.5. Vėlesnis įkainių arba kainų perskaičiavimas negali apimti laikotarpio, už kurį jau buvo atliktas perskaičiavimas.</w:t>
      </w:r>
    </w:p>
    <w:p w14:paraId="12FE0D65" w14:textId="7A1FFAA6" w:rsidR="00BF371A" w:rsidRPr="00BF371A" w:rsidRDefault="00BF371A" w:rsidP="00BF371A">
      <w:pPr>
        <w:spacing w:after="0"/>
        <w:rPr>
          <w:rFonts w:ascii="Times New Roman" w:hAnsi="Times New Roman"/>
          <w:bCs/>
          <w:iCs/>
          <w:szCs w:val="16"/>
          <w:highlight w:val="yellow"/>
        </w:rPr>
      </w:pPr>
      <w:r>
        <w:rPr>
          <w:rFonts w:ascii="Times New Roman" w:hAnsi="Times New Roman"/>
          <w:bCs/>
          <w:iCs/>
          <w:szCs w:val="16"/>
          <w:highlight w:val="yellow"/>
        </w:rPr>
        <w:t>5</w:t>
      </w:r>
      <w:r w:rsidRPr="00BF371A">
        <w:rPr>
          <w:rFonts w:ascii="Times New Roman" w:hAnsi="Times New Roman"/>
          <w:bCs/>
          <w:iCs/>
          <w:szCs w:val="16"/>
          <w:highlight w:val="yellow"/>
        </w:rPr>
        <w:t>.6.6. Susitarimas dėl kainos perskaičiavimo (keitimo) pasirašomas ne vėliau kaip per 10 darbo dienų nuo prašymo perskaičiuoti įkainį gavimo dienos.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w:t>
      </w:r>
      <w:r w:rsidRPr="00B85B65">
        <w:rPr>
          <w:shd w:val="clear" w:color="auto" w:fill="FFFFFF"/>
        </w:rPr>
        <w:lastRenderedPageBreak/>
        <w:t xml:space="preserve">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F8445C">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lastRenderedPageBreak/>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515FB5">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268EBF26" w:rsidR="00FA26B1" w:rsidRPr="00654902" w:rsidRDefault="00425C35" w:rsidP="00A13732">
      <w:pPr>
        <w:pStyle w:val="Heading2"/>
      </w:pPr>
      <w:r w:rsidRPr="00132F6E">
        <w:t xml:space="preserve">Visi </w:t>
      </w:r>
      <w:r w:rsidR="00EA0F80" w:rsidRPr="00132F6E">
        <w:t>Pirkimo</w:t>
      </w:r>
      <w:r w:rsidRPr="00132F6E">
        <w:t xml:space="preserve"> sutarties </w:t>
      </w:r>
      <w:r w:rsidRPr="00654902">
        <w:t>pakeitimai įforminami atskiru rašytiniu Šalių sutarimu.</w:t>
      </w:r>
    </w:p>
    <w:p w14:paraId="0E1667FD" w14:textId="7A136416" w:rsidR="00654902" w:rsidRPr="00654902" w:rsidRDefault="00654902" w:rsidP="00654902">
      <w:pPr>
        <w:pStyle w:val="Heading2"/>
      </w:pPr>
      <w:r w:rsidRPr="00654902">
        <w:t>Pirkimo sutarties vykdymo metu Prekės g</w:t>
      </w:r>
      <w:r w:rsidRPr="00141F5A">
        <w:t xml:space="preserve">ali būti keičiamos, Užsakovui pareikalavus, kad Prekės/Paslaugos atitiktų Pirkimo </w:t>
      </w:r>
      <w:r w:rsidRPr="00654902">
        <w:t>sutarties 3.1.7 ir 3.1.8.</w:t>
      </w:r>
      <w:r w:rsidRPr="00141F5A">
        <w:t xml:space="preserve">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A9694F">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2637C4B0" w:rsidR="00795DC3" w:rsidRPr="00132F6E" w:rsidRDefault="00EA0F80" w:rsidP="00991F0A">
      <w:pPr>
        <w:pStyle w:val="Heading2"/>
      </w:pPr>
      <w:bookmarkStart w:id="5" w:name="_Ref365305488"/>
      <w:r w:rsidRPr="00132F6E">
        <w:t>Pirkimo</w:t>
      </w:r>
      <w:r w:rsidR="008D4ECA" w:rsidRPr="00132F6E">
        <w:t xml:space="preserve"> sutartis </w:t>
      </w:r>
      <w:r w:rsidR="0054590B" w:rsidRPr="00132F6E">
        <w:t>galioja kol Užsakovas</w:t>
      </w:r>
      <w:r w:rsidR="008D4ECA" w:rsidRPr="00132F6E">
        <w:t xml:space="preserve"> nenuperka </w:t>
      </w:r>
      <w:bookmarkStart w:id="6" w:name="_Hlk524600573"/>
      <w:r w:rsidR="008D4ECA" w:rsidRPr="00132F6E">
        <w:t xml:space="preserve">100 (šimto) </w:t>
      </w:r>
      <w:bookmarkEnd w:id="6"/>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5"/>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69D432F0" w:rsidR="004870D7" w:rsidRDefault="004870D7" w:rsidP="00991F0A">
      <w:pPr>
        <w:pStyle w:val="Heading2"/>
        <w:rPr>
          <w:color w:val="000000"/>
        </w:rPr>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0CB2FF13" w14:textId="4B5038EC" w:rsidR="00615202" w:rsidRPr="00615202" w:rsidRDefault="00615202" w:rsidP="00615202">
      <w:pPr>
        <w:pStyle w:val="Heading2"/>
        <w:numPr>
          <w:ilvl w:val="0"/>
          <w:numId w:val="0"/>
        </w:numPr>
      </w:pPr>
      <w:r>
        <w:t>10.6.</w:t>
      </w:r>
      <w:r w:rsidRPr="00615202">
        <w:rPr>
          <w:highlight w:val="yellow"/>
          <w:vertAlign w:val="superscript"/>
        </w:rPr>
        <w:t xml:space="preserve">1 </w:t>
      </w:r>
      <w:r w:rsidRPr="00615202">
        <w:rPr>
          <w:highlight w:val="yellow"/>
        </w:rPr>
        <w:t xml:space="preserve">   </w:t>
      </w:r>
      <w:r w:rsidRPr="00615202">
        <w:rPr>
          <w:highlight w:val="yellow"/>
        </w:rPr>
        <w:t xml:space="preserve">Tiekėjas nesikreipdamas į teismą gali vienašališkai gali nutraukti Pirkimo  sutartį, kai TIEKĖJO tiekiamų prekių kaina padidėja iš esmės, o kainos padidėjimas sudaro ne mažiau kaip 10 proc. Pradinės sutarties vertės (įvertinus jos indeksavimą pagal </w:t>
      </w:r>
      <w:r>
        <w:rPr>
          <w:highlight w:val="yellow"/>
        </w:rPr>
        <w:t>5</w:t>
      </w:r>
      <w:r w:rsidRPr="00615202">
        <w:rPr>
          <w:highlight w:val="yellow"/>
        </w:rPr>
        <w:t xml:space="preserve">.6. punktą), bet PIRKĖJUI vengiant arba atsisakant sudaryti susitarimą dėl kainos keitimo pagal Pirkimo sutarties </w:t>
      </w:r>
      <w:r w:rsidRPr="00615202">
        <w:rPr>
          <w:highlight w:val="yellow"/>
        </w:rPr>
        <w:t>5</w:t>
      </w:r>
      <w:r w:rsidRPr="00615202">
        <w:rPr>
          <w:highlight w:val="yellow"/>
        </w:rPr>
        <w:t xml:space="preserve">.6. punktą, per </w:t>
      </w:r>
      <w:r w:rsidRPr="00615202">
        <w:rPr>
          <w:highlight w:val="yellow"/>
        </w:rPr>
        <w:t>5</w:t>
      </w:r>
      <w:r w:rsidRPr="00615202">
        <w:rPr>
          <w:highlight w:val="yellow"/>
        </w:rPr>
        <w:t>.6.6 papunktyje nustatytą terminą ir PIRKĖJAS neištaiso pažeidimo gavęs TIEKĖJO pretenziją</w:t>
      </w:r>
    </w:p>
    <w:p w14:paraId="1F230A31" w14:textId="602255E2" w:rsidR="004870D7"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5B71AA34" w14:textId="205E157A" w:rsidR="00654902" w:rsidRPr="000D28E3" w:rsidRDefault="00654902" w:rsidP="00654902">
      <w:pPr>
        <w:pStyle w:val="Heading2"/>
      </w:pPr>
      <w:r>
        <w:t xml:space="preserve"> </w:t>
      </w:r>
      <w:bookmarkStart w:id="7" w:name="_Hlk99718857"/>
      <w:r>
        <w:t xml:space="preserve">Užsakovas </w:t>
      </w:r>
      <w:r w:rsidRPr="000D28E3">
        <w:t>turi teis</w:t>
      </w:r>
      <w:r w:rsidRPr="000D28E3">
        <w:rPr>
          <w:rFonts w:hint="eastAsia"/>
        </w:rPr>
        <w:t>ę</w:t>
      </w:r>
      <w:r w:rsidRPr="000D28E3">
        <w:t xml:space="preserve"> vienašališkai nutraukti Pirkimo sutart</w:t>
      </w:r>
      <w:r w:rsidRPr="000D28E3">
        <w:rPr>
          <w:rFonts w:hint="eastAsia"/>
        </w:rPr>
        <w:t>į</w:t>
      </w:r>
      <w:r w:rsidRPr="000D28E3">
        <w:t xml:space="preserve"> kitais, Vieš</w:t>
      </w:r>
      <w:r w:rsidRPr="000D28E3">
        <w:rPr>
          <w:rFonts w:hint="eastAsia"/>
        </w:rPr>
        <w:t>ų</w:t>
      </w:r>
      <w:r w:rsidRPr="000D28E3">
        <w:t>j</w:t>
      </w:r>
      <w:r w:rsidRPr="000D28E3">
        <w:rPr>
          <w:rFonts w:hint="eastAsia"/>
        </w:rPr>
        <w:t>ų</w:t>
      </w:r>
      <w:r w:rsidRPr="000D28E3">
        <w:t xml:space="preserve"> pirkim</w:t>
      </w:r>
      <w:r w:rsidRPr="000D28E3">
        <w:rPr>
          <w:rFonts w:hint="eastAsia"/>
        </w:rPr>
        <w:t>ų</w:t>
      </w:r>
      <w:r w:rsidRPr="000D28E3">
        <w:t xml:space="preserve"> </w:t>
      </w:r>
      <w:r w:rsidRPr="000D28E3">
        <w:rPr>
          <w:rFonts w:hint="eastAsia"/>
        </w:rPr>
        <w:t>į</w:t>
      </w:r>
      <w:r w:rsidRPr="000D28E3">
        <w:t xml:space="preserve">statyme nustatytais, pagrindais. </w:t>
      </w:r>
    </w:p>
    <w:bookmarkEnd w:id="7"/>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BA884C6" w:rsidR="00DA5A7D" w:rsidRPr="00B85B65" w:rsidRDefault="00BE2064" w:rsidP="00546333">
      <w:pPr>
        <w:pStyle w:val="Heading2"/>
        <w:numPr>
          <w:ilvl w:val="0"/>
          <w:numId w:val="0"/>
        </w:numPr>
        <w:tabs>
          <w:tab w:val="left" w:pos="630"/>
        </w:tabs>
      </w:pPr>
      <w:r w:rsidRPr="00B85B65">
        <w:t>1</w:t>
      </w:r>
      <w:r w:rsidR="00515FB5" w:rsidRPr="00B85B65">
        <w:t xml:space="preserve">1.5. </w:t>
      </w:r>
      <w:r w:rsidR="00546333">
        <w:t xml:space="preserve">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6C72D028"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546333">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1526683B" w:rsidR="002E3217" w:rsidRPr="00B85B65" w:rsidRDefault="00BE2064" w:rsidP="00515FB5">
      <w:pPr>
        <w:pStyle w:val="Heading2"/>
        <w:numPr>
          <w:ilvl w:val="0"/>
          <w:numId w:val="0"/>
        </w:numPr>
      </w:pPr>
      <w:r w:rsidRPr="00B85B65">
        <w:t>1</w:t>
      </w:r>
      <w:r w:rsidR="00F8445C" w:rsidRPr="00B85B65">
        <w:t>1</w:t>
      </w:r>
      <w:r w:rsidRPr="00B85B65">
        <w:t xml:space="preserve">.7. </w:t>
      </w:r>
      <w:r w:rsidR="00546333">
        <w:t xml:space="preserve">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416D3210" w:rsidR="002E3217" w:rsidRPr="00B85B65" w:rsidRDefault="00BE2064" w:rsidP="00515FB5">
      <w:pPr>
        <w:pStyle w:val="Heading2"/>
        <w:numPr>
          <w:ilvl w:val="0"/>
          <w:numId w:val="0"/>
        </w:numPr>
      </w:pPr>
      <w:r w:rsidRPr="00B85B65">
        <w:t>1</w:t>
      </w:r>
      <w:r w:rsidR="00F8445C" w:rsidRPr="00B85B65">
        <w:t>1</w:t>
      </w:r>
      <w:r w:rsidRPr="00B85B65">
        <w:t>.8</w:t>
      </w:r>
      <w:r w:rsidR="00546333">
        <w:t>.</w:t>
      </w:r>
      <w:r w:rsidRPr="00B85B65">
        <w:t xml:space="preserve"> </w:t>
      </w:r>
      <w:r w:rsidR="00546333">
        <w:t xml:space="preserve">    </w:t>
      </w:r>
      <w:r w:rsidR="002E3217" w:rsidRPr="00B85B65">
        <w:t>Jeigu pasikeičia Šalies adresas ir (ar) kiti duomenys, Šalis turi raštu informuoti kitą Šalį ne vėliau kaip per 5 darbo dienas nuo bent vieno kontaktinio duomens pasikeitimo.</w:t>
      </w:r>
    </w:p>
    <w:p w14:paraId="70ECEFE6" w14:textId="48355791" w:rsidR="004669C2" w:rsidRPr="00B85B65" w:rsidRDefault="00BE2064" w:rsidP="00515FB5">
      <w:pPr>
        <w:pStyle w:val="Heading2"/>
        <w:numPr>
          <w:ilvl w:val="0"/>
          <w:numId w:val="0"/>
        </w:numPr>
      </w:pPr>
      <w:r w:rsidRPr="00B85B65">
        <w:t>1</w:t>
      </w:r>
      <w:r w:rsidR="00F8445C" w:rsidRPr="00B85B65">
        <w:t>1</w:t>
      </w:r>
      <w:r w:rsidRPr="00B85B65">
        <w:t>.9</w:t>
      </w:r>
      <w:r w:rsidR="00546333">
        <w:t>.</w:t>
      </w:r>
      <w:r w:rsidR="00DA5A7D" w:rsidRPr="00B85B65">
        <w:t xml:space="preserve"> </w:t>
      </w:r>
      <w:r w:rsidR="00546333">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lastRenderedPageBreak/>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8"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8"/>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64D9" w14:textId="77777777" w:rsidR="003F667B" w:rsidRDefault="003F667B">
      <w:r>
        <w:separator/>
      </w:r>
    </w:p>
    <w:p w14:paraId="2AE2B3CC" w14:textId="77777777" w:rsidR="003F667B" w:rsidRDefault="003F667B"/>
  </w:endnote>
  <w:endnote w:type="continuationSeparator" w:id="0">
    <w:p w14:paraId="00300649" w14:textId="77777777" w:rsidR="003F667B" w:rsidRDefault="003F667B">
      <w:r>
        <w:continuationSeparator/>
      </w:r>
    </w:p>
    <w:p w14:paraId="4D6DCC00" w14:textId="77777777" w:rsidR="003F667B" w:rsidRDefault="003F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5F65" w14:textId="77777777" w:rsidR="003F667B" w:rsidRDefault="003F667B">
      <w:r>
        <w:separator/>
      </w:r>
    </w:p>
    <w:p w14:paraId="7F157BEE" w14:textId="77777777" w:rsidR="003F667B" w:rsidRDefault="003F667B"/>
  </w:footnote>
  <w:footnote w:type="continuationSeparator" w:id="0">
    <w:p w14:paraId="1E213C0E" w14:textId="77777777" w:rsidR="003F667B" w:rsidRDefault="003F667B">
      <w:r>
        <w:continuationSeparator/>
      </w:r>
    </w:p>
    <w:p w14:paraId="7C09AF56" w14:textId="77777777" w:rsidR="003F667B" w:rsidRDefault="003F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7A0838A0"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6E596E">
            <w:rPr>
              <w:rFonts w:ascii="Times New Roman" w:hAnsi="Times New Roman"/>
              <w:szCs w:val="16"/>
            </w:rPr>
            <w:t>Medicininių testų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1FD8BCA7"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5401">
            <w:rPr>
              <w:rFonts w:ascii="Times New Roman" w:hAnsi="Times New Roman"/>
              <w:szCs w:val="16"/>
            </w:rPr>
            <w:t>Medicininių testų</w:t>
          </w:r>
          <w:r w:rsidR="00C273C2" w:rsidRPr="00C273C2">
            <w:rPr>
              <w:rFonts w:ascii="Times New Roman" w:hAnsi="Times New Roman"/>
              <w:szCs w:val="16"/>
            </w:rPr>
            <w:t xml:space="preserve">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39711621">
    <w:abstractNumId w:val="12"/>
  </w:num>
  <w:num w:numId="2" w16cid:durableId="1477065015">
    <w:abstractNumId w:val="5"/>
  </w:num>
  <w:num w:numId="3" w16cid:durableId="56973143">
    <w:abstractNumId w:val="10"/>
  </w:num>
  <w:num w:numId="4" w16cid:durableId="155614529">
    <w:abstractNumId w:val="3"/>
  </w:num>
  <w:num w:numId="5" w16cid:durableId="2065836156">
    <w:abstractNumId w:val="20"/>
  </w:num>
  <w:num w:numId="6" w16cid:durableId="627710513">
    <w:abstractNumId w:val="13"/>
  </w:num>
  <w:num w:numId="7" w16cid:durableId="1570262198">
    <w:abstractNumId w:val="16"/>
  </w:num>
  <w:num w:numId="8" w16cid:durableId="1710256070">
    <w:abstractNumId w:val="2"/>
  </w:num>
  <w:num w:numId="9" w16cid:durableId="737823610">
    <w:abstractNumId w:val="8"/>
  </w:num>
  <w:num w:numId="10" w16cid:durableId="849488664">
    <w:abstractNumId w:val="11"/>
  </w:num>
  <w:num w:numId="11" w16cid:durableId="545722039">
    <w:abstractNumId w:val="1"/>
  </w:num>
  <w:num w:numId="12" w16cid:durableId="356931517">
    <w:abstractNumId w:val="16"/>
  </w:num>
  <w:num w:numId="13" w16cid:durableId="1088774800">
    <w:abstractNumId w:val="7"/>
  </w:num>
  <w:num w:numId="14" w16cid:durableId="659508394">
    <w:abstractNumId w:val="16"/>
    <w:lvlOverride w:ilvl="0">
      <w:startOverride w:val="4"/>
    </w:lvlOverride>
    <w:lvlOverride w:ilvl="1">
      <w:startOverride w:val="6"/>
    </w:lvlOverride>
    <w:lvlOverride w:ilvl="2">
      <w:startOverride w:val="2"/>
    </w:lvlOverride>
  </w:num>
  <w:num w:numId="15" w16cid:durableId="342368379">
    <w:abstractNumId w:val="7"/>
    <w:lvlOverride w:ilvl="0">
      <w:startOverride w:val="3"/>
    </w:lvlOverride>
    <w:lvlOverride w:ilvl="1">
      <w:startOverride w:val="1"/>
    </w:lvlOverride>
    <w:lvlOverride w:ilvl="2">
      <w:startOverride w:val="8"/>
    </w:lvlOverride>
  </w:num>
  <w:num w:numId="16" w16cid:durableId="184442015">
    <w:abstractNumId w:val="7"/>
    <w:lvlOverride w:ilvl="0">
      <w:startOverride w:val="3"/>
    </w:lvlOverride>
    <w:lvlOverride w:ilvl="1">
      <w:startOverride w:val="19"/>
    </w:lvlOverride>
  </w:num>
  <w:num w:numId="17" w16cid:durableId="1429352187">
    <w:abstractNumId w:val="7"/>
    <w:lvlOverride w:ilvl="0">
      <w:startOverride w:val="3"/>
    </w:lvlOverride>
    <w:lvlOverride w:ilvl="1">
      <w:startOverride w:val="1"/>
    </w:lvlOverride>
    <w:lvlOverride w:ilvl="2">
      <w:startOverride w:val="9"/>
    </w:lvlOverride>
  </w:num>
  <w:num w:numId="18" w16cid:durableId="1320501925">
    <w:abstractNumId w:val="9"/>
  </w:num>
  <w:num w:numId="19" w16cid:durableId="1029799557">
    <w:abstractNumId w:val="19"/>
  </w:num>
  <w:num w:numId="20" w16cid:durableId="748575928">
    <w:abstractNumId w:val="7"/>
    <w:lvlOverride w:ilvl="0">
      <w:startOverride w:val="11"/>
    </w:lvlOverride>
    <w:lvlOverride w:ilvl="1">
      <w:startOverride w:val="2"/>
    </w:lvlOverride>
  </w:num>
  <w:num w:numId="21" w16cid:durableId="1084256331">
    <w:abstractNumId w:val="7"/>
  </w:num>
  <w:num w:numId="22" w16cid:durableId="592251836">
    <w:abstractNumId w:val="7"/>
    <w:lvlOverride w:ilvl="0">
      <w:startOverride w:val="3"/>
    </w:lvlOverride>
    <w:lvlOverride w:ilvl="1">
      <w:startOverride w:val="6"/>
    </w:lvlOverride>
    <w:lvlOverride w:ilvl="2">
      <w:startOverride w:val="1"/>
    </w:lvlOverride>
  </w:num>
  <w:num w:numId="23" w16cid:durableId="1312757244">
    <w:abstractNumId w:val="7"/>
  </w:num>
  <w:num w:numId="24" w16cid:durableId="2102336369">
    <w:abstractNumId w:val="7"/>
    <w:lvlOverride w:ilvl="0">
      <w:startOverride w:val="3"/>
    </w:lvlOverride>
    <w:lvlOverride w:ilvl="1">
      <w:startOverride w:val="1"/>
    </w:lvlOverride>
    <w:lvlOverride w:ilvl="2">
      <w:startOverride w:val="8"/>
    </w:lvlOverride>
  </w:num>
  <w:num w:numId="25" w16cid:durableId="1642080813">
    <w:abstractNumId w:val="4"/>
  </w:num>
  <w:num w:numId="26" w16cid:durableId="241574930">
    <w:abstractNumId w:val="17"/>
  </w:num>
  <w:num w:numId="27" w16cid:durableId="1403795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1471924">
    <w:abstractNumId w:val="6"/>
  </w:num>
  <w:num w:numId="29" w16cid:durableId="1497696160">
    <w:abstractNumId w:val="15"/>
  </w:num>
  <w:num w:numId="30" w16cid:durableId="1794011445">
    <w:abstractNumId w:val="18"/>
  </w:num>
  <w:num w:numId="31" w16cid:durableId="1771122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055246">
    <w:abstractNumId w:val="7"/>
    <w:lvlOverride w:ilvl="0">
      <w:startOverride w:val="6"/>
    </w:lvlOverride>
    <w:lvlOverride w:ilvl="1">
      <w:startOverride w:val="4"/>
    </w:lvlOverride>
  </w:num>
  <w:num w:numId="33" w16cid:durableId="942373666">
    <w:abstractNumId w:val="7"/>
    <w:lvlOverride w:ilvl="0">
      <w:startOverride w:val="3"/>
    </w:lvlOverride>
    <w:lvlOverride w:ilvl="1">
      <w:startOverride w:val="1"/>
    </w:lvlOverride>
    <w:lvlOverride w:ilvl="2">
      <w:startOverride w:val="2"/>
    </w:lvlOverride>
  </w:num>
  <w:num w:numId="34" w16cid:durableId="924806508">
    <w:abstractNumId w:val="0"/>
  </w:num>
  <w:num w:numId="35" w16cid:durableId="460465040">
    <w:abstractNumId w:val="14"/>
  </w:num>
  <w:num w:numId="36" w16cid:durableId="157573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6940"/>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67B"/>
    <w:rsid w:val="003F68DE"/>
    <w:rsid w:val="003F6BD1"/>
    <w:rsid w:val="003F7C02"/>
    <w:rsid w:val="00402C86"/>
    <w:rsid w:val="00402F3C"/>
    <w:rsid w:val="00404A77"/>
    <w:rsid w:val="00406D9D"/>
    <w:rsid w:val="00410359"/>
    <w:rsid w:val="004118D1"/>
    <w:rsid w:val="00413639"/>
    <w:rsid w:val="00415F2C"/>
    <w:rsid w:val="00420CBC"/>
    <w:rsid w:val="00422624"/>
    <w:rsid w:val="00423D9A"/>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143"/>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2DB1"/>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B77"/>
    <w:rsid w:val="0061399A"/>
    <w:rsid w:val="00615202"/>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4902"/>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4BF5"/>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0F33"/>
    <w:rsid w:val="00BD598C"/>
    <w:rsid w:val="00BE1A0E"/>
    <w:rsid w:val="00BE2064"/>
    <w:rsid w:val="00BE373E"/>
    <w:rsid w:val="00BE4FBA"/>
    <w:rsid w:val="00BE4FC0"/>
    <w:rsid w:val="00BE643E"/>
    <w:rsid w:val="00BE67D0"/>
    <w:rsid w:val="00BE6E0F"/>
    <w:rsid w:val="00BE7013"/>
    <w:rsid w:val="00BF371A"/>
    <w:rsid w:val="00BF44C6"/>
    <w:rsid w:val="00BF4C0C"/>
    <w:rsid w:val="00BF53B8"/>
    <w:rsid w:val="00C009FC"/>
    <w:rsid w:val="00C00A8D"/>
    <w:rsid w:val="00C00D50"/>
    <w:rsid w:val="00C02416"/>
    <w:rsid w:val="00C04C64"/>
    <w:rsid w:val="00C04EAC"/>
    <w:rsid w:val="00C05765"/>
    <w:rsid w:val="00C064B9"/>
    <w:rsid w:val="00C07604"/>
    <w:rsid w:val="00C103C7"/>
    <w:rsid w:val="00C104F2"/>
    <w:rsid w:val="00C111B1"/>
    <w:rsid w:val="00C1149A"/>
    <w:rsid w:val="00C118F9"/>
    <w:rsid w:val="00C12168"/>
    <w:rsid w:val="00C149FD"/>
    <w:rsid w:val="00C15841"/>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58ED"/>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0E0D"/>
    <w:rsid w:val="00D42F07"/>
    <w:rsid w:val="00D472A9"/>
    <w:rsid w:val="00D504F2"/>
    <w:rsid w:val="00D508A2"/>
    <w:rsid w:val="00D52DE0"/>
    <w:rsid w:val="00D6123F"/>
    <w:rsid w:val="00D61AFE"/>
    <w:rsid w:val="00D62EF3"/>
    <w:rsid w:val="00D63B5E"/>
    <w:rsid w:val="00D63B78"/>
    <w:rsid w:val="00D640E8"/>
    <w:rsid w:val="00D64833"/>
    <w:rsid w:val="00D6565E"/>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09C"/>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97D4E"/>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2C08"/>
    <w:rsid w:val="00FD43BC"/>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4680</Words>
  <Characters>26680</Characters>
  <Application>Microsoft Office Word</Application>
  <DocSecurity>0</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Aistė Kairaitienė</cp:lastModifiedBy>
  <cp:revision>2</cp:revision>
  <cp:lastPrinted>2018-11-21T10:15:00Z</cp:lastPrinted>
  <dcterms:created xsi:type="dcterms:W3CDTF">2022-06-29T12:10:00Z</dcterms:created>
  <dcterms:modified xsi:type="dcterms:W3CDTF">2022-06-29T12:10:00Z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