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C6EC6" w14:textId="578093C3" w:rsidR="008F686D" w:rsidRDefault="002C1968" w:rsidP="002C1968">
      <w:pPr>
        <w:jc w:val="both"/>
        <w:rPr>
          <w:rFonts w:ascii="Arial" w:hAnsi="Arial" w:cs="Arial"/>
          <w:b/>
          <w:noProof/>
          <w:lang w:val="pl-PL"/>
        </w:rPr>
      </w:pPr>
      <w:r>
        <w:rPr>
          <w:rFonts w:ascii="Arial" w:hAnsi="Arial" w:cs="Arial"/>
          <w:b/>
          <w:noProof/>
          <w:lang w:val="pl-PL"/>
        </w:rPr>
        <w:t xml:space="preserve">DĖL </w:t>
      </w:r>
      <w:r w:rsidR="009F5A89">
        <w:rPr>
          <w:rFonts w:ascii="Arial" w:hAnsi="Arial" w:cs="Arial"/>
          <w:b/>
          <w:noProof/>
          <w:lang w:val="pl-PL"/>
        </w:rPr>
        <w:t>PIRKIMO DOKUMENTŲ PAAIŠKINIMO</w:t>
      </w:r>
      <w:r>
        <w:rPr>
          <w:rFonts w:ascii="Arial" w:hAnsi="Arial" w:cs="Arial"/>
          <w:b/>
          <w:noProof/>
          <w:lang w:val="pl-PL"/>
        </w:rPr>
        <w:t xml:space="preserve"> </w:t>
      </w:r>
      <w:r w:rsidR="00631646">
        <w:rPr>
          <w:rFonts w:ascii="Arial" w:hAnsi="Arial" w:cs="Arial"/>
          <w:b/>
          <w:noProof/>
          <w:lang w:val="pl-PL"/>
        </w:rPr>
        <w:t xml:space="preserve">/ REGARDING THE </w:t>
      </w:r>
      <w:r w:rsidR="009F5A89">
        <w:rPr>
          <w:rFonts w:ascii="Arial" w:hAnsi="Arial" w:cs="Arial"/>
          <w:b/>
          <w:noProof/>
          <w:lang w:val="pl-PL"/>
        </w:rPr>
        <w:t>EXPLANATION OF THE PROCUREMENT DOCUMENTS</w:t>
      </w:r>
      <w:r w:rsidR="00631646">
        <w:rPr>
          <w:rFonts w:ascii="Arial" w:hAnsi="Arial" w:cs="Arial"/>
          <w:b/>
          <w:noProof/>
          <w:lang w:val="pl-PL"/>
        </w:rPr>
        <w:t xml:space="preserve"> </w:t>
      </w:r>
    </w:p>
    <w:p w14:paraId="6967EFF3" w14:textId="77777777" w:rsidR="002C1968" w:rsidRPr="002C1968" w:rsidRDefault="002C1968" w:rsidP="002C1968">
      <w:pPr>
        <w:jc w:val="both"/>
        <w:rPr>
          <w:rFonts w:ascii="Arial" w:hAnsi="Arial" w:cs="Arial"/>
          <w:b/>
          <w:noProof/>
          <w:lang w:val="pl-PL"/>
        </w:rPr>
      </w:pPr>
    </w:p>
    <w:p w14:paraId="1813F7F8" w14:textId="0EDDD15B" w:rsidR="002C1968" w:rsidRPr="002C1968" w:rsidRDefault="009F5A89" w:rsidP="002C1968">
      <w:pPr>
        <w:shd w:val="clear" w:color="auto" w:fill="FFFFFF"/>
        <w:spacing w:after="0" w:line="240" w:lineRule="auto"/>
        <w:ind w:firstLine="851"/>
        <w:jc w:val="both"/>
        <w:rPr>
          <w:rFonts w:ascii="Arial" w:hAnsi="Arial" w:cs="Arial"/>
          <w:position w:val="6"/>
          <w:lang w:val="lt-LT"/>
        </w:rPr>
      </w:pPr>
      <w:r w:rsidRPr="002C1968">
        <w:rPr>
          <w:rFonts w:ascii="Arial" w:hAnsi="Arial" w:cs="Arial"/>
          <w:position w:val="6"/>
          <w:lang w:val="lt-LT"/>
        </w:rPr>
        <w:t xml:space="preserve">AB „Lietuvos geležinkeliai“ (toliau – </w:t>
      </w:r>
      <w:r w:rsidRPr="002C1968">
        <w:rPr>
          <w:rFonts w:ascii="Arial" w:hAnsi="Arial" w:cs="Arial"/>
          <w:b/>
          <w:bCs/>
          <w:position w:val="6"/>
          <w:lang w:val="lt-LT"/>
        </w:rPr>
        <w:t>LTG</w:t>
      </w:r>
      <w:r w:rsidRPr="002C1968">
        <w:rPr>
          <w:rFonts w:ascii="Arial" w:hAnsi="Arial" w:cs="Arial"/>
          <w:position w:val="6"/>
          <w:lang w:val="lt-LT"/>
        </w:rPr>
        <w:t xml:space="preserve">) </w:t>
      </w:r>
      <w:r w:rsidR="002C1968" w:rsidRPr="002C1968">
        <w:rPr>
          <w:rFonts w:ascii="Arial" w:hAnsi="Arial" w:cs="Arial"/>
          <w:position w:val="6"/>
          <w:lang w:val="lt-LT"/>
        </w:rPr>
        <w:t xml:space="preserve">Centrinės viešųjų pirkimų informacinės sistemos priemonėmis (toliau – </w:t>
      </w:r>
      <w:r w:rsidR="002C1968" w:rsidRPr="002C1968">
        <w:rPr>
          <w:rFonts w:ascii="Arial" w:hAnsi="Arial" w:cs="Arial"/>
          <w:b/>
          <w:bCs/>
          <w:position w:val="6"/>
          <w:lang w:val="lt-LT"/>
        </w:rPr>
        <w:t>CVP IS</w:t>
      </w:r>
      <w:r w:rsidR="002C1968" w:rsidRPr="002C1968">
        <w:rPr>
          <w:rFonts w:ascii="Arial" w:hAnsi="Arial" w:cs="Arial"/>
          <w:position w:val="6"/>
          <w:lang w:val="lt-LT"/>
        </w:rPr>
        <w:t>) gavo suinteresuot</w:t>
      </w:r>
      <w:r w:rsidR="00631646">
        <w:rPr>
          <w:rFonts w:ascii="Arial" w:hAnsi="Arial" w:cs="Arial"/>
          <w:position w:val="6"/>
          <w:lang w:val="lt-LT"/>
        </w:rPr>
        <w:t>o</w:t>
      </w:r>
      <w:r w:rsidR="002C1968" w:rsidRPr="002C1968">
        <w:rPr>
          <w:rFonts w:ascii="Arial" w:hAnsi="Arial" w:cs="Arial"/>
          <w:position w:val="6"/>
          <w:lang w:val="lt-LT"/>
        </w:rPr>
        <w:t xml:space="preserve"> tiekėj</w:t>
      </w:r>
      <w:r w:rsidR="00631646">
        <w:rPr>
          <w:rFonts w:ascii="Arial" w:hAnsi="Arial" w:cs="Arial"/>
          <w:position w:val="6"/>
          <w:lang w:val="lt-LT"/>
        </w:rPr>
        <w:t>o</w:t>
      </w:r>
      <w:r w:rsidR="002C1968" w:rsidRPr="002C1968">
        <w:rPr>
          <w:rFonts w:ascii="Arial" w:hAnsi="Arial" w:cs="Arial"/>
          <w:position w:val="6"/>
          <w:lang w:val="lt-LT"/>
        </w:rPr>
        <w:t xml:space="preserve"> prašym</w:t>
      </w:r>
      <w:r w:rsidR="00631646">
        <w:rPr>
          <w:rFonts w:ascii="Arial" w:hAnsi="Arial" w:cs="Arial"/>
          <w:position w:val="6"/>
          <w:lang w:val="lt-LT"/>
        </w:rPr>
        <w:t>ą</w:t>
      </w:r>
      <w:r w:rsidR="002C1968" w:rsidRPr="002C1968">
        <w:rPr>
          <w:rFonts w:ascii="Arial" w:hAnsi="Arial" w:cs="Arial"/>
          <w:position w:val="6"/>
          <w:lang w:val="lt-LT"/>
        </w:rPr>
        <w:t xml:space="preserve"> paaiškinti / patikslinti </w:t>
      </w:r>
      <w:r>
        <w:rPr>
          <w:rFonts w:ascii="Arial" w:hAnsi="Arial" w:cs="Arial"/>
          <w:position w:val="6"/>
          <w:lang w:val="lt-LT"/>
        </w:rPr>
        <w:t xml:space="preserve">kvalifikacinės sistemos </w:t>
      </w:r>
      <w:r w:rsidRPr="002D3C40">
        <w:rPr>
          <w:rFonts w:ascii="Arial" w:hAnsi="Arial" w:cs="Arial"/>
          <w:i/>
          <w:iCs/>
          <w:position w:val="6"/>
          <w:lang w:val="lt-LT"/>
        </w:rPr>
        <w:t>„Elektrinių lokomotyvų tiekimas su ilgalaikiu atsarginių dalių tiekimu pirkimas Nr. 18227“</w:t>
      </w:r>
      <w:r w:rsidRPr="00631646">
        <w:rPr>
          <w:rFonts w:ascii="Arial" w:hAnsi="Arial" w:cs="Arial"/>
          <w:position w:val="6"/>
          <w:lang w:val="lt-LT"/>
        </w:rPr>
        <w:t xml:space="preserve"> </w:t>
      </w:r>
      <w:r w:rsidRPr="002C1968">
        <w:rPr>
          <w:rFonts w:ascii="Arial" w:hAnsi="Arial" w:cs="Arial"/>
          <w:position w:val="6"/>
          <w:lang w:val="lt-LT"/>
        </w:rPr>
        <w:t xml:space="preserve">(toliau – </w:t>
      </w:r>
      <w:r w:rsidRPr="002C1968">
        <w:rPr>
          <w:rFonts w:ascii="Arial" w:hAnsi="Arial" w:cs="Arial"/>
          <w:b/>
          <w:bCs/>
          <w:position w:val="6"/>
          <w:lang w:val="lt-LT"/>
        </w:rPr>
        <w:t>Pirkimas</w:t>
      </w:r>
      <w:r w:rsidRPr="002C1968">
        <w:rPr>
          <w:rFonts w:ascii="Arial" w:hAnsi="Arial" w:cs="Arial"/>
          <w:position w:val="6"/>
          <w:lang w:val="lt-LT"/>
        </w:rPr>
        <w:t>)</w:t>
      </w:r>
      <w:r w:rsidR="002C1968" w:rsidRPr="002C1968">
        <w:rPr>
          <w:rFonts w:ascii="Arial" w:hAnsi="Arial" w:cs="Arial"/>
          <w:position w:val="6"/>
          <w:lang w:val="lt-LT"/>
        </w:rPr>
        <w:t xml:space="preserve"> dokumentus. </w:t>
      </w:r>
    </w:p>
    <w:p w14:paraId="511CAB3A" w14:textId="61FB0069" w:rsidR="002C1968" w:rsidRPr="002C1968" w:rsidRDefault="002C1968" w:rsidP="002C1968">
      <w:pPr>
        <w:shd w:val="clear" w:color="auto" w:fill="FFFFFF" w:themeFill="background1"/>
        <w:spacing w:after="0" w:line="240" w:lineRule="auto"/>
        <w:ind w:firstLine="851"/>
        <w:jc w:val="both"/>
        <w:rPr>
          <w:rFonts w:ascii="Arial" w:hAnsi="Arial" w:cs="Arial"/>
          <w:lang w:val="lt-LT"/>
        </w:rPr>
      </w:pPr>
      <w:r w:rsidRPr="002C1968">
        <w:rPr>
          <w:rFonts w:ascii="Arial" w:hAnsi="Arial" w:cs="Arial"/>
          <w:lang w:val="lt-LT"/>
        </w:rPr>
        <w:t>LTG išnagrinėjo minėt</w:t>
      </w:r>
      <w:r w:rsidR="00631646">
        <w:rPr>
          <w:rFonts w:ascii="Arial" w:hAnsi="Arial" w:cs="Arial"/>
          <w:lang w:val="lt-LT"/>
        </w:rPr>
        <w:t>ą</w:t>
      </w:r>
      <w:r w:rsidRPr="002C1968">
        <w:rPr>
          <w:rFonts w:ascii="Arial" w:hAnsi="Arial" w:cs="Arial"/>
          <w:lang w:val="lt-LT"/>
        </w:rPr>
        <w:t xml:space="preserve"> prašym</w:t>
      </w:r>
      <w:r w:rsidR="00631646">
        <w:rPr>
          <w:rFonts w:ascii="Arial" w:hAnsi="Arial" w:cs="Arial"/>
          <w:lang w:val="lt-LT"/>
        </w:rPr>
        <w:t>ą</w:t>
      </w:r>
      <w:r w:rsidRPr="002C1968">
        <w:rPr>
          <w:rFonts w:ascii="Arial" w:hAnsi="Arial" w:cs="Arial"/>
          <w:lang w:val="lt-LT"/>
        </w:rPr>
        <w:t xml:space="preserve"> ir teikia atsakym</w:t>
      </w:r>
      <w:r w:rsidR="00631646">
        <w:rPr>
          <w:rFonts w:ascii="Arial" w:hAnsi="Arial" w:cs="Arial"/>
          <w:lang w:val="lt-LT"/>
        </w:rPr>
        <w:t>ą</w:t>
      </w:r>
      <w:r w:rsidRPr="002C1968">
        <w:rPr>
          <w:rFonts w:ascii="Arial" w:hAnsi="Arial" w:cs="Arial"/>
          <w:lang w:val="lt-LT"/>
        </w:rPr>
        <w:t xml:space="preserve">, paaiškindama / patikslindama Pirkimo dokumentus: </w:t>
      </w:r>
    </w:p>
    <w:p w14:paraId="53E1AA82" w14:textId="77777777" w:rsidR="002C1968" w:rsidRPr="002C1968" w:rsidRDefault="002C1968" w:rsidP="002C1968">
      <w:pPr>
        <w:shd w:val="clear" w:color="auto" w:fill="FFFFFF" w:themeFill="background1"/>
        <w:spacing w:after="0" w:line="240" w:lineRule="auto"/>
        <w:ind w:firstLine="851"/>
        <w:jc w:val="both"/>
        <w:rPr>
          <w:rFonts w:ascii="Arial" w:hAnsi="Arial" w:cs="Arial"/>
          <w:lang w:val="lt-LT"/>
        </w:rPr>
      </w:pPr>
      <w:r w:rsidRPr="002C1968">
        <w:rPr>
          <w:rFonts w:ascii="Arial" w:hAnsi="Arial" w:cs="Arial"/>
          <w:lang w:val="lt-LT"/>
        </w:rPr>
        <w:t>/</w:t>
      </w:r>
    </w:p>
    <w:p w14:paraId="13572049" w14:textId="6FFB33D9" w:rsidR="002C1968" w:rsidRPr="002C1968" w:rsidRDefault="009F5A89" w:rsidP="002C1968">
      <w:pPr>
        <w:shd w:val="clear" w:color="auto" w:fill="FFFFFF" w:themeFill="background1"/>
        <w:spacing w:after="0" w:line="240" w:lineRule="auto"/>
        <w:ind w:firstLine="851"/>
        <w:jc w:val="both"/>
        <w:rPr>
          <w:rFonts w:ascii="Arial" w:hAnsi="Arial" w:cs="Arial"/>
        </w:rPr>
      </w:pPr>
      <w:r w:rsidRPr="002C1968">
        <w:rPr>
          <w:rFonts w:ascii="Arial" w:hAnsi="Arial" w:cs="Arial"/>
        </w:rPr>
        <w:t>JSC “Lithuanian Railways” (</w:t>
      </w:r>
      <w:r>
        <w:rPr>
          <w:rFonts w:ascii="Arial" w:hAnsi="Arial" w:cs="Arial"/>
        </w:rPr>
        <w:t>hereinafter referred to as</w:t>
      </w:r>
      <w:r w:rsidRPr="002C1968">
        <w:rPr>
          <w:rFonts w:ascii="Arial" w:hAnsi="Arial" w:cs="Arial"/>
        </w:rPr>
        <w:t xml:space="preserve"> </w:t>
      </w:r>
      <w:r w:rsidRPr="00D93D07">
        <w:rPr>
          <w:rFonts w:ascii="Arial" w:hAnsi="Arial" w:cs="Arial"/>
          <w:b/>
          <w:bCs/>
        </w:rPr>
        <w:t>LTG</w:t>
      </w:r>
      <w:r w:rsidRPr="002C1968">
        <w:rPr>
          <w:rFonts w:ascii="Arial" w:hAnsi="Arial" w:cs="Arial"/>
        </w:rPr>
        <w:t>)</w:t>
      </w:r>
      <w:r>
        <w:rPr>
          <w:rFonts w:ascii="Arial" w:hAnsi="Arial" w:cs="Arial"/>
        </w:rPr>
        <w:t xml:space="preserve"> </w:t>
      </w:r>
      <w:r w:rsidR="002C1968" w:rsidRPr="002C1968">
        <w:rPr>
          <w:rFonts w:ascii="Arial" w:hAnsi="Arial" w:cs="Arial"/>
        </w:rPr>
        <w:t xml:space="preserve">via the Central Public Procurement Information System (hereinafter referred to as the </w:t>
      </w:r>
      <w:r w:rsidR="002C1968" w:rsidRPr="00D93D07">
        <w:rPr>
          <w:rFonts w:ascii="Arial" w:hAnsi="Arial" w:cs="Arial"/>
          <w:b/>
          <w:bCs/>
        </w:rPr>
        <w:t>CPP IS</w:t>
      </w:r>
      <w:r w:rsidR="002C1968" w:rsidRPr="002C1968">
        <w:rPr>
          <w:rFonts w:ascii="Arial" w:hAnsi="Arial" w:cs="Arial"/>
        </w:rPr>
        <w:t>) received request</w:t>
      </w:r>
      <w:r w:rsidR="00D93D07">
        <w:rPr>
          <w:rFonts w:ascii="Arial" w:hAnsi="Arial" w:cs="Arial"/>
        </w:rPr>
        <w:t xml:space="preserve"> </w:t>
      </w:r>
      <w:r w:rsidR="002C1968" w:rsidRPr="002C1968">
        <w:rPr>
          <w:rFonts w:ascii="Arial" w:hAnsi="Arial" w:cs="Arial"/>
        </w:rPr>
        <w:t xml:space="preserve">from the supplier, who are involved in the </w:t>
      </w:r>
      <w:r>
        <w:rPr>
          <w:rFonts w:ascii="Arial" w:hAnsi="Arial" w:cs="Arial"/>
        </w:rPr>
        <w:t xml:space="preserve">Qualification Assessment System </w:t>
      </w:r>
      <w:r w:rsidRPr="00D93D07">
        <w:rPr>
          <w:rFonts w:ascii="Arial" w:hAnsi="Arial" w:cs="Arial"/>
        </w:rPr>
        <w:t xml:space="preserve">“Supply of electric locomotives with long-term supply of spare parts procurement </w:t>
      </w:r>
      <w:r>
        <w:rPr>
          <w:rFonts w:ascii="Arial" w:hAnsi="Arial" w:cs="Arial"/>
        </w:rPr>
        <w:t>N</w:t>
      </w:r>
      <w:r w:rsidRPr="00D93D07">
        <w:rPr>
          <w:rFonts w:ascii="Arial" w:hAnsi="Arial" w:cs="Arial"/>
        </w:rPr>
        <w:t>o. 18227”</w:t>
      </w:r>
      <w:r>
        <w:rPr>
          <w:rFonts w:ascii="Arial" w:hAnsi="Arial" w:cs="Arial"/>
        </w:rPr>
        <w:t xml:space="preserve"> </w:t>
      </w:r>
      <w:r w:rsidRPr="00D93D07">
        <w:rPr>
          <w:rFonts w:ascii="Arial" w:hAnsi="Arial" w:cs="Arial"/>
        </w:rPr>
        <w:t xml:space="preserve">(hereinafter referred to as the </w:t>
      </w:r>
      <w:r w:rsidRPr="00D93D07">
        <w:rPr>
          <w:rFonts w:ascii="Arial" w:hAnsi="Arial" w:cs="Arial"/>
          <w:b/>
          <w:bCs/>
        </w:rPr>
        <w:t>Procurement</w:t>
      </w:r>
      <w:r w:rsidRPr="00D93D07">
        <w:rPr>
          <w:rFonts w:ascii="Arial" w:hAnsi="Arial" w:cs="Arial"/>
        </w:rPr>
        <w:t>)</w:t>
      </w:r>
      <w:r w:rsidR="00D93D07">
        <w:rPr>
          <w:rFonts w:ascii="Arial" w:hAnsi="Arial" w:cs="Arial"/>
        </w:rPr>
        <w:t>, to clarify/explain the Procurement Documents.</w:t>
      </w:r>
      <w:r w:rsidR="002C1968" w:rsidRPr="002C1968">
        <w:rPr>
          <w:rFonts w:ascii="Arial" w:hAnsi="Arial" w:cs="Arial"/>
        </w:rPr>
        <w:t xml:space="preserve"> </w:t>
      </w:r>
    </w:p>
    <w:p w14:paraId="107E48F2" w14:textId="786D0AD6" w:rsidR="002C1968" w:rsidRPr="002C1968" w:rsidRDefault="002C1968" w:rsidP="002C1968">
      <w:pPr>
        <w:shd w:val="clear" w:color="auto" w:fill="FFFFFF" w:themeFill="background1"/>
        <w:spacing w:after="0" w:line="240" w:lineRule="auto"/>
        <w:ind w:firstLine="851"/>
        <w:jc w:val="both"/>
        <w:rPr>
          <w:rFonts w:ascii="Arial" w:hAnsi="Arial" w:cs="Arial"/>
        </w:rPr>
      </w:pPr>
      <w:r w:rsidRPr="002C1968">
        <w:rPr>
          <w:rFonts w:ascii="Arial" w:hAnsi="Arial" w:cs="Arial"/>
        </w:rPr>
        <w:t xml:space="preserve">Having examined the </w:t>
      </w:r>
      <w:proofErr w:type="gramStart"/>
      <w:r w:rsidRPr="002C1968">
        <w:rPr>
          <w:rFonts w:ascii="Arial" w:hAnsi="Arial" w:cs="Arial"/>
        </w:rPr>
        <w:t>aforementioned request</w:t>
      </w:r>
      <w:proofErr w:type="gramEnd"/>
      <w:r w:rsidRPr="002C1968">
        <w:rPr>
          <w:rFonts w:ascii="Arial" w:hAnsi="Arial" w:cs="Arial"/>
        </w:rPr>
        <w:t>, LTG gives answer clarifying/explaining the Procurement Documents:</w:t>
      </w:r>
    </w:p>
    <w:p w14:paraId="57C116C6" w14:textId="77777777" w:rsidR="002C1968" w:rsidRPr="002C1968" w:rsidRDefault="002C1968" w:rsidP="002C1968">
      <w:pPr>
        <w:shd w:val="clear" w:color="auto" w:fill="FFFFFF" w:themeFill="background1"/>
        <w:spacing w:after="0" w:line="240" w:lineRule="auto"/>
        <w:ind w:firstLine="851"/>
        <w:jc w:val="both"/>
        <w:rPr>
          <w:rFonts w:ascii="Arial" w:hAnsi="Arial" w:cs="Arial"/>
          <w:lang w:val="lt-LT"/>
        </w:rPr>
      </w:pPr>
    </w:p>
    <w:tbl>
      <w:tblPr>
        <w:tblStyle w:val="TableGrid11"/>
        <w:tblpPr w:leftFromText="180" w:rightFromText="180" w:vertAnchor="text" w:horzAnchor="margin" w:tblpY="122"/>
        <w:tblW w:w="9882" w:type="dxa"/>
        <w:tblLayout w:type="fixed"/>
        <w:tblLook w:val="04A0" w:firstRow="1" w:lastRow="0" w:firstColumn="1" w:lastColumn="0" w:noHBand="0" w:noVBand="1"/>
      </w:tblPr>
      <w:tblGrid>
        <w:gridCol w:w="704"/>
        <w:gridCol w:w="3549"/>
        <w:gridCol w:w="2835"/>
        <w:gridCol w:w="2794"/>
      </w:tblGrid>
      <w:tr w:rsidR="002C1968" w:rsidRPr="002C1968" w14:paraId="223B6658" w14:textId="77777777" w:rsidTr="676B6B19">
        <w:tc>
          <w:tcPr>
            <w:tcW w:w="704" w:type="dxa"/>
          </w:tcPr>
          <w:p w14:paraId="25937FE0" w14:textId="77777777" w:rsidR="002C1968" w:rsidRPr="002C1968" w:rsidRDefault="002C1968" w:rsidP="002C1968">
            <w:pPr>
              <w:jc w:val="center"/>
              <w:rPr>
                <w:rFonts w:ascii="Arial" w:eastAsia="Times New Roman" w:hAnsi="Arial" w:cs="Arial"/>
                <w:b/>
                <w:lang w:eastAsia="ar-SA"/>
              </w:rPr>
            </w:pPr>
            <w:r w:rsidRPr="002C1968">
              <w:rPr>
                <w:rFonts w:ascii="Arial" w:eastAsia="Times New Roman" w:hAnsi="Arial" w:cs="Arial"/>
                <w:b/>
                <w:lang w:eastAsia="ar-SA"/>
              </w:rPr>
              <w:t>Eil. Nr./</w:t>
            </w:r>
            <w:r w:rsidRPr="002C1968">
              <w:rPr>
                <w:rFonts w:ascii="Arial" w:eastAsia="Times New Roman" w:hAnsi="Arial" w:cs="Arial"/>
                <w:b/>
                <w:lang w:val="en-US" w:eastAsia="ar-SA"/>
              </w:rPr>
              <w:t>No</w:t>
            </w:r>
          </w:p>
        </w:tc>
        <w:tc>
          <w:tcPr>
            <w:tcW w:w="3549" w:type="dxa"/>
          </w:tcPr>
          <w:p w14:paraId="269D74F7" w14:textId="77777777" w:rsidR="002C1968" w:rsidRPr="002C1968" w:rsidRDefault="002C1968" w:rsidP="002C1968">
            <w:pPr>
              <w:jc w:val="center"/>
              <w:rPr>
                <w:rFonts w:ascii="Arial" w:eastAsia="Times New Roman" w:hAnsi="Arial" w:cs="Arial"/>
                <w:b/>
                <w:lang w:eastAsia="ar-SA"/>
              </w:rPr>
            </w:pPr>
            <w:r w:rsidRPr="002C1968">
              <w:rPr>
                <w:rFonts w:ascii="Arial" w:eastAsia="Times New Roman" w:hAnsi="Arial" w:cs="Arial"/>
                <w:b/>
                <w:lang w:eastAsia="ar-SA"/>
              </w:rPr>
              <w:t>Klausimas*/</w:t>
            </w:r>
            <w:r w:rsidRPr="002C1968">
              <w:rPr>
                <w:rFonts w:ascii="Arial" w:hAnsi="Arial" w:cs="Arial"/>
              </w:rPr>
              <w:t xml:space="preserve"> </w:t>
            </w:r>
            <w:r w:rsidRPr="002C1968">
              <w:rPr>
                <w:rFonts w:ascii="Arial" w:eastAsia="Times New Roman" w:hAnsi="Arial" w:cs="Arial"/>
                <w:b/>
                <w:lang w:val="en-US" w:eastAsia="ar-SA"/>
              </w:rPr>
              <w:t>Question</w:t>
            </w:r>
            <w:r w:rsidRPr="002C1968">
              <w:rPr>
                <w:rFonts w:ascii="Arial" w:eastAsia="Times New Roman" w:hAnsi="Arial" w:cs="Arial"/>
                <w:b/>
                <w:lang w:eastAsia="ar-SA"/>
              </w:rPr>
              <w:t>*</w:t>
            </w:r>
          </w:p>
        </w:tc>
        <w:tc>
          <w:tcPr>
            <w:tcW w:w="2835" w:type="dxa"/>
          </w:tcPr>
          <w:p w14:paraId="019CF13D" w14:textId="77777777" w:rsidR="002C1968" w:rsidRPr="002C1968" w:rsidRDefault="002C1968" w:rsidP="002C1968">
            <w:pPr>
              <w:jc w:val="center"/>
              <w:rPr>
                <w:rFonts w:ascii="Arial" w:eastAsia="Times New Roman" w:hAnsi="Arial" w:cs="Arial"/>
                <w:b/>
                <w:lang w:eastAsia="ar-SA"/>
              </w:rPr>
            </w:pPr>
            <w:r w:rsidRPr="002C1968">
              <w:rPr>
                <w:rFonts w:ascii="Arial" w:eastAsia="Times New Roman" w:hAnsi="Arial" w:cs="Arial"/>
                <w:b/>
                <w:lang w:eastAsia="ar-SA"/>
              </w:rPr>
              <w:t>Atsakymas/</w:t>
            </w:r>
            <w:r w:rsidRPr="002C1968">
              <w:rPr>
                <w:rFonts w:ascii="Arial" w:hAnsi="Arial" w:cs="Arial"/>
              </w:rPr>
              <w:t xml:space="preserve"> </w:t>
            </w:r>
            <w:r w:rsidRPr="002C1968">
              <w:rPr>
                <w:rFonts w:ascii="Arial" w:eastAsia="Times New Roman" w:hAnsi="Arial" w:cs="Arial"/>
                <w:b/>
                <w:lang w:val="en-US" w:eastAsia="ar-SA"/>
              </w:rPr>
              <w:t>Answer</w:t>
            </w:r>
          </w:p>
        </w:tc>
        <w:tc>
          <w:tcPr>
            <w:tcW w:w="2794" w:type="dxa"/>
          </w:tcPr>
          <w:p w14:paraId="7CDF6BE7" w14:textId="77777777" w:rsidR="002C1968" w:rsidRPr="002C1968" w:rsidRDefault="002C1968" w:rsidP="002C1968">
            <w:pPr>
              <w:jc w:val="center"/>
              <w:rPr>
                <w:rFonts w:ascii="Arial" w:eastAsia="Times New Roman" w:hAnsi="Arial" w:cs="Arial"/>
                <w:b/>
                <w:lang w:eastAsia="ar-SA"/>
              </w:rPr>
            </w:pPr>
            <w:r w:rsidRPr="002C1968">
              <w:rPr>
                <w:rFonts w:ascii="Arial" w:eastAsia="Times New Roman" w:hAnsi="Arial" w:cs="Arial"/>
                <w:b/>
                <w:lang w:eastAsia="ar-SA"/>
              </w:rPr>
              <w:t>Vertimas/</w:t>
            </w:r>
            <w:r w:rsidRPr="002C1968">
              <w:rPr>
                <w:rFonts w:ascii="Arial" w:hAnsi="Arial" w:cs="Arial"/>
              </w:rPr>
              <w:t xml:space="preserve"> </w:t>
            </w:r>
            <w:r w:rsidRPr="002C1968">
              <w:rPr>
                <w:rFonts w:ascii="Arial" w:eastAsia="Times New Roman" w:hAnsi="Arial" w:cs="Arial"/>
                <w:b/>
                <w:lang w:val="en-US" w:eastAsia="ar-SA"/>
              </w:rPr>
              <w:t>Translation</w:t>
            </w:r>
          </w:p>
        </w:tc>
      </w:tr>
      <w:tr w:rsidR="002C1968" w:rsidRPr="00CD66D5" w14:paraId="33E665FF" w14:textId="77777777" w:rsidTr="676B6B19">
        <w:tc>
          <w:tcPr>
            <w:tcW w:w="704" w:type="dxa"/>
          </w:tcPr>
          <w:p w14:paraId="5BD212DC" w14:textId="77777777" w:rsidR="002C1968" w:rsidRPr="002C1968" w:rsidRDefault="002C1968" w:rsidP="002C1968">
            <w:pPr>
              <w:numPr>
                <w:ilvl w:val="0"/>
                <w:numId w:val="2"/>
              </w:numPr>
              <w:contextualSpacing/>
              <w:jc w:val="both"/>
              <w:rPr>
                <w:rFonts w:ascii="Arial" w:eastAsia="Times New Roman" w:hAnsi="Arial" w:cs="Arial"/>
                <w:lang w:eastAsia="ar-SA"/>
              </w:rPr>
            </w:pPr>
          </w:p>
        </w:tc>
        <w:tc>
          <w:tcPr>
            <w:tcW w:w="3549" w:type="dxa"/>
          </w:tcPr>
          <w:p w14:paraId="333A3CA9" w14:textId="77777777" w:rsidR="00865934" w:rsidRPr="00865934" w:rsidRDefault="00865934" w:rsidP="00865934">
            <w:pPr>
              <w:jc w:val="both"/>
              <w:rPr>
                <w:rFonts w:ascii="Arial" w:eastAsia="Times New Roman" w:hAnsi="Arial" w:cs="Arial"/>
                <w:sz w:val="22"/>
                <w:szCs w:val="22"/>
                <w:lang w:val="en-US"/>
              </w:rPr>
            </w:pPr>
            <w:r w:rsidRPr="00865934">
              <w:rPr>
                <w:rFonts w:ascii="Arial" w:eastAsia="Times New Roman" w:hAnsi="Arial" w:cs="Arial"/>
                <w:sz w:val="22"/>
                <w:szCs w:val="22"/>
                <w:lang w:val="en-US"/>
              </w:rPr>
              <w:t>Annex 2 to Qualification Assessment System, point 13 and 14</w:t>
            </w:r>
          </w:p>
          <w:p w14:paraId="5C35FCAE" w14:textId="77777777" w:rsidR="00865934" w:rsidRPr="00865934" w:rsidRDefault="00865934" w:rsidP="00865934">
            <w:pPr>
              <w:jc w:val="both"/>
              <w:rPr>
                <w:rFonts w:ascii="Arial" w:eastAsia="Times New Roman" w:hAnsi="Arial" w:cs="Arial"/>
                <w:sz w:val="22"/>
                <w:szCs w:val="22"/>
                <w:lang w:val="en-US"/>
              </w:rPr>
            </w:pPr>
          </w:p>
          <w:p w14:paraId="1E2B7E86" w14:textId="77777777" w:rsidR="00865934" w:rsidRPr="00865934" w:rsidRDefault="00865934" w:rsidP="00865934">
            <w:pPr>
              <w:jc w:val="both"/>
              <w:rPr>
                <w:rFonts w:ascii="Arial" w:eastAsia="Times New Roman" w:hAnsi="Arial" w:cs="Arial"/>
                <w:sz w:val="22"/>
                <w:szCs w:val="22"/>
                <w:lang w:val="en-US"/>
              </w:rPr>
            </w:pPr>
            <w:r w:rsidRPr="00865934">
              <w:rPr>
                <w:rFonts w:ascii="Arial" w:eastAsia="Times New Roman" w:hAnsi="Arial" w:cs="Arial"/>
                <w:sz w:val="22"/>
                <w:szCs w:val="22"/>
                <w:lang w:val="en-US"/>
              </w:rPr>
              <w:t xml:space="preserve">There is requirement to provide list of contracts performed or/and to be performed during last 10 years. </w:t>
            </w:r>
          </w:p>
          <w:p w14:paraId="05A18FF5" w14:textId="77777777" w:rsidR="00865934" w:rsidRPr="00865934" w:rsidRDefault="00865934" w:rsidP="00865934">
            <w:pPr>
              <w:jc w:val="both"/>
              <w:rPr>
                <w:rFonts w:ascii="Arial" w:eastAsia="Times New Roman" w:hAnsi="Arial" w:cs="Arial"/>
                <w:sz w:val="22"/>
                <w:szCs w:val="22"/>
                <w:lang w:val="en-US"/>
              </w:rPr>
            </w:pPr>
          </w:p>
          <w:p w14:paraId="0FED09FB" w14:textId="221C631A" w:rsidR="002C1968" w:rsidRPr="00D93D07" w:rsidRDefault="00865934" w:rsidP="00865934">
            <w:pPr>
              <w:jc w:val="both"/>
              <w:rPr>
                <w:rFonts w:ascii="Arial" w:eastAsia="Times New Roman" w:hAnsi="Arial" w:cs="Arial"/>
                <w:i/>
                <w:iCs/>
                <w:sz w:val="22"/>
                <w:szCs w:val="22"/>
                <w:lang w:val="en-US"/>
              </w:rPr>
            </w:pPr>
            <w:r w:rsidRPr="00865934">
              <w:rPr>
                <w:rFonts w:ascii="Arial" w:eastAsia="Times New Roman" w:hAnsi="Arial" w:cs="Arial"/>
                <w:sz w:val="22"/>
                <w:szCs w:val="22"/>
                <w:lang w:val="en-US"/>
              </w:rPr>
              <w:t>Please confirm that for on-going contracts 10 years period applies for trains delivery moment.</w:t>
            </w:r>
          </w:p>
        </w:tc>
        <w:tc>
          <w:tcPr>
            <w:tcW w:w="2835" w:type="dxa"/>
          </w:tcPr>
          <w:p w14:paraId="16039035" w14:textId="77777777" w:rsidR="00C5145F" w:rsidRPr="000353F2" w:rsidRDefault="00511FD0" w:rsidP="002C1968">
            <w:pPr>
              <w:jc w:val="both"/>
              <w:rPr>
                <w:rFonts w:ascii="Arial" w:eastAsia="Times New Roman" w:hAnsi="Arial" w:cs="Arial"/>
                <w:b/>
                <w:bCs/>
                <w:sz w:val="22"/>
                <w:szCs w:val="22"/>
              </w:rPr>
            </w:pPr>
            <w:r w:rsidRPr="000353F2">
              <w:rPr>
                <w:rFonts w:ascii="Arial" w:eastAsia="Times New Roman" w:hAnsi="Arial" w:cs="Arial"/>
                <w:b/>
                <w:bCs/>
                <w:sz w:val="22"/>
                <w:szCs w:val="22"/>
              </w:rPr>
              <w:t>Dėl</w:t>
            </w:r>
            <w:r w:rsidR="00E236E7" w:rsidRPr="000353F2">
              <w:rPr>
                <w:rFonts w:ascii="Arial" w:eastAsia="Times New Roman" w:hAnsi="Arial" w:cs="Arial"/>
                <w:b/>
                <w:bCs/>
                <w:sz w:val="22"/>
                <w:szCs w:val="22"/>
              </w:rPr>
              <w:t xml:space="preserve"> </w:t>
            </w:r>
            <w:r w:rsidR="008C447E" w:rsidRPr="000353F2">
              <w:rPr>
                <w:rFonts w:ascii="Arial" w:eastAsia="Times New Roman" w:hAnsi="Arial" w:cs="Arial"/>
                <w:b/>
                <w:bCs/>
                <w:sz w:val="22"/>
                <w:szCs w:val="22"/>
              </w:rPr>
              <w:t>13 kvalifikacinio reikala</w:t>
            </w:r>
            <w:r w:rsidR="00C5145F" w:rsidRPr="000353F2">
              <w:rPr>
                <w:rFonts w:ascii="Arial" w:eastAsia="Times New Roman" w:hAnsi="Arial" w:cs="Arial"/>
                <w:b/>
                <w:bCs/>
                <w:sz w:val="22"/>
                <w:szCs w:val="22"/>
              </w:rPr>
              <w:t xml:space="preserve">vimo: </w:t>
            </w:r>
          </w:p>
          <w:p w14:paraId="4E9B5C3E" w14:textId="6B11E313" w:rsidR="002C1968" w:rsidRDefault="00D53FCE" w:rsidP="002C1968">
            <w:pPr>
              <w:jc w:val="both"/>
              <w:rPr>
                <w:rFonts w:ascii="Arial" w:eastAsia="Times New Roman" w:hAnsi="Arial" w:cs="Arial"/>
                <w:sz w:val="22"/>
                <w:szCs w:val="22"/>
              </w:rPr>
            </w:pPr>
            <w:r>
              <w:rPr>
                <w:rFonts w:ascii="Arial" w:eastAsia="Times New Roman" w:hAnsi="Arial" w:cs="Arial"/>
                <w:sz w:val="22"/>
                <w:szCs w:val="22"/>
              </w:rPr>
              <w:t xml:space="preserve">LTG paaiškina, kad </w:t>
            </w:r>
            <w:r>
              <w:t xml:space="preserve"> </w:t>
            </w:r>
            <w:r w:rsidR="005C3D4B">
              <w:rPr>
                <w:rFonts w:ascii="Arial" w:eastAsia="Times New Roman" w:hAnsi="Arial" w:cs="Arial"/>
                <w:sz w:val="22"/>
                <w:szCs w:val="22"/>
              </w:rPr>
              <w:t>j</w:t>
            </w:r>
            <w:r w:rsidRPr="00D53FCE">
              <w:rPr>
                <w:rFonts w:ascii="Arial" w:eastAsia="Times New Roman" w:hAnsi="Arial" w:cs="Arial"/>
                <w:sz w:val="22"/>
                <w:szCs w:val="22"/>
              </w:rPr>
              <w:t>ei tiekėjas teikia informaciją apie vykdomą (-</w:t>
            </w:r>
            <w:proofErr w:type="spellStart"/>
            <w:r w:rsidRPr="00D53FCE">
              <w:rPr>
                <w:rFonts w:ascii="Arial" w:eastAsia="Times New Roman" w:hAnsi="Arial" w:cs="Arial"/>
                <w:sz w:val="22"/>
                <w:szCs w:val="22"/>
              </w:rPr>
              <w:t>as</w:t>
            </w:r>
            <w:proofErr w:type="spellEnd"/>
            <w:r w:rsidRPr="00D53FCE">
              <w:rPr>
                <w:rFonts w:ascii="Arial" w:eastAsia="Times New Roman" w:hAnsi="Arial" w:cs="Arial"/>
                <w:sz w:val="22"/>
                <w:szCs w:val="22"/>
              </w:rPr>
              <w:t>) sutartį (-</w:t>
            </w:r>
            <w:proofErr w:type="spellStart"/>
            <w:r w:rsidRPr="00D53FCE">
              <w:rPr>
                <w:rFonts w:ascii="Arial" w:eastAsia="Times New Roman" w:hAnsi="Arial" w:cs="Arial"/>
                <w:sz w:val="22"/>
                <w:szCs w:val="22"/>
              </w:rPr>
              <w:t>is</w:t>
            </w:r>
            <w:proofErr w:type="spellEnd"/>
            <w:r w:rsidRPr="00D53FCE">
              <w:rPr>
                <w:rFonts w:ascii="Arial" w:eastAsia="Times New Roman" w:hAnsi="Arial" w:cs="Arial"/>
                <w:sz w:val="22"/>
                <w:szCs w:val="22"/>
              </w:rPr>
              <w:t>), laikoma, kad jo patirtis atitinka keliamą reikalavimą, jei vykdomos (-ų) sutarties (-</w:t>
            </w:r>
            <w:proofErr w:type="spellStart"/>
            <w:r w:rsidRPr="00D53FCE">
              <w:rPr>
                <w:rFonts w:ascii="Arial" w:eastAsia="Times New Roman" w:hAnsi="Arial" w:cs="Arial"/>
                <w:sz w:val="22"/>
                <w:szCs w:val="22"/>
              </w:rPr>
              <w:t>ių</w:t>
            </w:r>
            <w:proofErr w:type="spellEnd"/>
            <w:r w:rsidRPr="00D53FCE">
              <w:rPr>
                <w:rFonts w:ascii="Arial" w:eastAsia="Times New Roman" w:hAnsi="Arial" w:cs="Arial"/>
                <w:sz w:val="22"/>
                <w:szCs w:val="22"/>
              </w:rPr>
              <w:t>) įvykdyta dalis per pastaruosius 10 (dešimt) metų arba per laiką nuo tiekėjo įregistravimo dienos (jei tiekėjas vykdo veiklą mažiau nei 10 (dešimt) metų) yra ne mažesnė nei 57 (penkiasdešimt septyni)mln. Eur.</w:t>
            </w:r>
            <w:r>
              <w:rPr>
                <w:rFonts w:ascii="Arial" w:eastAsia="Times New Roman" w:hAnsi="Arial" w:cs="Arial"/>
                <w:sz w:val="22"/>
                <w:szCs w:val="22"/>
              </w:rPr>
              <w:t xml:space="preserve"> </w:t>
            </w:r>
          </w:p>
          <w:p w14:paraId="0E63C357" w14:textId="77777777" w:rsidR="006826FF" w:rsidRDefault="006826FF" w:rsidP="002C1968">
            <w:pPr>
              <w:jc w:val="both"/>
              <w:rPr>
                <w:rFonts w:ascii="Arial" w:eastAsia="Times New Roman" w:hAnsi="Arial" w:cs="Arial"/>
                <w:sz w:val="22"/>
                <w:szCs w:val="22"/>
              </w:rPr>
            </w:pPr>
          </w:p>
          <w:p w14:paraId="55443753" w14:textId="77777777" w:rsidR="00A51EE1" w:rsidRPr="00D479D1" w:rsidRDefault="00A51EE1" w:rsidP="00A51EE1">
            <w:pPr>
              <w:jc w:val="both"/>
              <w:rPr>
                <w:rFonts w:ascii="Arial" w:eastAsia="Times New Roman" w:hAnsi="Arial" w:cs="Arial"/>
                <w:b/>
                <w:bCs/>
                <w:sz w:val="22"/>
                <w:szCs w:val="22"/>
              </w:rPr>
            </w:pPr>
            <w:r w:rsidRPr="00D479D1">
              <w:rPr>
                <w:rFonts w:ascii="Arial" w:eastAsia="Times New Roman" w:hAnsi="Arial" w:cs="Arial"/>
                <w:b/>
                <w:bCs/>
                <w:sz w:val="22"/>
                <w:szCs w:val="22"/>
              </w:rPr>
              <w:t xml:space="preserve">Tiekėjas turi pateikti: </w:t>
            </w:r>
          </w:p>
          <w:p w14:paraId="350B4A9D" w14:textId="77777777" w:rsidR="00A51EE1" w:rsidRPr="00A51EE1" w:rsidRDefault="00A51EE1" w:rsidP="00A51EE1">
            <w:pPr>
              <w:jc w:val="both"/>
              <w:rPr>
                <w:rFonts w:ascii="Arial" w:eastAsia="Times New Roman" w:hAnsi="Arial" w:cs="Arial"/>
                <w:sz w:val="22"/>
                <w:szCs w:val="22"/>
              </w:rPr>
            </w:pPr>
            <w:r w:rsidRPr="00A51EE1">
              <w:rPr>
                <w:rFonts w:ascii="Arial" w:eastAsia="Times New Roman" w:hAnsi="Arial" w:cs="Arial"/>
                <w:sz w:val="22"/>
                <w:szCs w:val="22"/>
              </w:rPr>
              <w:t xml:space="preserve">1.  pagrindinių per pastaruosius 10 (dešimt) metų įvykdytų ir (ar) vykdomų sutarčių sąrašą, parengiamą pagal KVS 3 priede reikalaujamą informaciją;  </w:t>
            </w:r>
          </w:p>
          <w:p w14:paraId="0D3A2C40" w14:textId="77777777" w:rsidR="00A51EE1" w:rsidRPr="00A51EE1" w:rsidRDefault="00A51EE1" w:rsidP="00A51EE1">
            <w:pPr>
              <w:jc w:val="both"/>
              <w:rPr>
                <w:rFonts w:ascii="Arial" w:eastAsia="Times New Roman" w:hAnsi="Arial" w:cs="Arial"/>
                <w:sz w:val="22"/>
                <w:szCs w:val="22"/>
              </w:rPr>
            </w:pPr>
            <w:r w:rsidRPr="00A51EE1">
              <w:rPr>
                <w:rFonts w:ascii="Arial" w:eastAsia="Times New Roman" w:hAnsi="Arial" w:cs="Arial"/>
                <w:sz w:val="22"/>
                <w:szCs w:val="22"/>
              </w:rPr>
              <w:t>2. sutarties (-</w:t>
            </w:r>
            <w:proofErr w:type="spellStart"/>
            <w:r w:rsidRPr="00A51EE1">
              <w:rPr>
                <w:rFonts w:ascii="Arial" w:eastAsia="Times New Roman" w:hAnsi="Arial" w:cs="Arial"/>
                <w:sz w:val="22"/>
                <w:szCs w:val="22"/>
              </w:rPr>
              <w:t>čių</w:t>
            </w:r>
            <w:proofErr w:type="spellEnd"/>
            <w:r w:rsidRPr="00A51EE1">
              <w:rPr>
                <w:rFonts w:ascii="Arial" w:eastAsia="Times New Roman" w:hAnsi="Arial" w:cs="Arial"/>
                <w:sz w:val="22"/>
                <w:szCs w:val="22"/>
              </w:rPr>
              <w:t xml:space="preserve">) objektui (Prekėms), vadovaujantis </w:t>
            </w:r>
            <w:r w:rsidRPr="00A51EE1">
              <w:rPr>
                <w:rFonts w:ascii="Arial" w:eastAsia="Times New Roman" w:hAnsi="Arial" w:cs="Arial"/>
                <w:sz w:val="22"/>
                <w:szCs w:val="22"/>
              </w:rPr>
              <w:lastRenderedPageBreak/>
              <w:t xml:space="preserve">2008 m. birželio 17 d. Europos Parlamento ir Tarybos direktyva 2008/57/EC dėl geležinkelių sistemos sąveikos Bendrijoje (su vėlesniais pakeitimais),  išduotų leidimų skaitmenines kopijas. </w:t>
            </w:r>
          </w:p>
          <w:p w14:paraId="0BC0441B" w14:textId="77777777" w:rsidR="00A51EE1" w:rsidRPr="00A51EE1" w:rsidRDefault="00A51EE1" w:rsidP="00A51EE1">
            <w:pPr>
              <w:jc w:val="both"/>
              <w:rPr>
                <w:rFonts w:ascii="Arial" w:eastAsia="Times New Roman" w:hAnsi="Arial" w:cs="Arial"/>
                <w:sz w:val="22"/>
                <w:szCs w:val="22"/>
              </w:rPr>
            </w:pPr>
          </w:p>
          <w:p w14:paraId="6F359761" w14:textId="77777777" w:rsidR="00343362" w:rsidRPr="00D479D1" w:rsidRDefault="00343362" w:rsidP="00343362">
            <w:pPr>
              <w:jc w:val="both"/>
              <w:rPr>
                <w:rFonts w:ascii="Arial" w:eastAsia="Times New Roman" w:hAnsi="Arial" w:cs="Arial"/>
                <w:b/>
                <w:bCs/>
                <w:sz w:val="22"/>
                <w:szCs w:val="22"/>
              </w:rPr>
            </w:pPr>
            <w:r w:rsidRPr="00D479D1">
              <w:rPr>
                <w:rFonts w:ascii="Arial" w:eastAsia="Times New Roman" w:hAnsi="Arial" w:cs="Arial"/>
                <w:b/>
                <w:bCs/>
                <w:sz w:val="22"/>
                <w:szCs w:val="22"/>
              </w:rPr>
              <w:t>LTG prašymu, tiekėjas turi pateikti:</w:t>
            </w:r>
          </w:p>
          <w:p w14:paraId="456E84F9" w14:textId="4284E139" w:rsidR="00C5145F" w:rsidRPr="00D479D1" w:rsidRDefault="00343362" w:rsidP="00343362">
            <w:pPr>
              <w:jc w:val="both"/>
              <w:rPr>
                <w:rFonts w:ascii="Arial" w:eastAsia="Times New Roman" w:hAnsi="Arial" w:cs="Arial"/>
                <w:b/>
                <w:bCs/>
                <w:sz w:val="22"/>
                <w:szCs w:val="22"/>
              </w:rPr>
            </w:pPr>
            <w:r w:rsidRPr="00343362">
              <w:rPr>
                <w:rFonts w:ascii="Arial" w:eastAsia="Times New Roman" w:hAnsi="Arial" w:cs="Arial"/>
                <w:sz w:val="22"/>
                <w:szCs w:val="22"/>
              </w:rPr>
              <w:t>1.  laisvos formos užsakovo raštišką patvirtinimą, kad sutartis (-</w:t>
            </w:r>
            <w:proofErr w:type="spellStart"/>
            <w:r w:rsidRPr="00343362">
              <w:rPr>
                <w:rFonts w:ascii="Arial" w:eastAsia="Times New Roman" w:hAnsi="Arial" w:cs="Arial"/>
                <w:sz w:val="22"/>
                <w:szCs w:val="22"/>
              </w:rPr>
              <w:t>ys</w:t>
            </w:r>
            <w:proofErr w:type="spellEnd"/>
            <w:r w:rsidRPr="00343362">
              <w:rPr>
                <w:rFonts w:ascii="Arial" w:eastAsia="Times New Roman" w:hAnsi="Arial" w:cs="Arial"/>
                <w:sz w:val="22"/>
                <w:szCs w:val="22"/>
              </w:rPr>
              <w:t>) vykdoma (-</w:t>
            </w:r>
            <w:proofErr w:type="spellStart"/>
            <w:r w:rsidRPr="00343362">
              <w:rPr>
                <w:rFonts w:ascii="Arial" w:eastAsia="Times New Roman" w:hAnsi="Arial" w:cs="Arial"/>
                <w:sz w:val="22"/>
                <w:szCs w:val="22"/>
              </w:rPr>
              <w:t>os</w:t>
            </w:r>
            <w:proofErr w:type="spellEnd"/>
            <w:r w:rsidRPr="00343362">
              <w:rPr>
                <w:rFonts w:ascii="Arial" w:eastAsia="Times New Roman" w:hAnsi="Arial" w:cs="Arial"/>
                <w:sz w:val="22"/>
                <w:szCs w:val="22"/>
              </w:rPr>
              <w:t>) / įvykdyta (-</w:t>
            </w:r>
            <w:proofErr w:type="spellStart"/>
            <w:r w:rsidRPr="00343362">
              <w:rPr>
                <w:rFonts w:ascii="Arial" w:eastAsia="Times New Roman" w:hAnsi="Arial" w:cs="Arial"/>
                <w:sz w:val="22"/>
                <w:szCs w:val="22"/>
              </w:rPr>
              <w:t>os</w:t>
            </w:r>
            <w:proofErr w:type="spellEnd"/>
            <w:r w:rsidRPr="00343362">
              <w:rPr>
                <w:rFonts w:ascii="Arial" w:eastAsia="Times New Roman" w:hAnsi="Arial" w:cs="Arial"/>
                <w:sz w:val="22"/>
                <w:szCs w:val="22"/>
              </w:rPr>
              <w:t>) tinkamai, parengtą pagal LTG prašyme nurodytus kriterijus. Tiekėjui nepateiktus tokio patvirtinimo, LTG gali prašyti tiekėjo įrodyti, kad sutartis (-</w:t>
            </w:r>
            <w:proofErr w:type="spellStart"/>
            <w:r w:rsidRPr="00343362">
              <w:rPr>
                <w:rFonts w:ascii="Arial" w:eastAsia="Times New Roman" w:hAnsi="Arial" w:cs="Arial"/>
                <w:sz w:val="22"/>
                <w:szCs w:val="22"/>
              </w:rPr>
              <w:t>ys</w:t>
            </w:r>
            <w:proofErr w:type="spellEnd"/>
            <w:r w:rsidRPr="00343362">
              <w:rPr>
                <w:rFonts w:ascii="Arial" w:eastAsia="Times New Roman" w:hAnsi="Arial" w:cs="Arial"/>
                <w:sz w:val="22"/>
                <w:szCs w:val="22"/>
              </w:rPr>
              <w:t>) vykdoma (-</w:t>
            </w:r>
            <w:proofErr w:type="spellStart"/>
            <w:r w:rsidRPr="00343362">
              <w:rPr>
                <w:rFonts w:ascii="Arial" w:eastAsia="Times New Roman" w:hAnsi="Arial" w:cs="Arial"/>
                <w:sz w:val="22"/>
                <w:szCs w:val="22"/>
              </w:rPr>
              <w:t>os</w:t>
            </w:r>
            <w:proofErr w:type="spellEnd"/>
            <w:r w:rsidRPr="00343362">
              <w:rPr>
                <w:rFonts w:ascii="Arial" w:eastAsia="Times New Roman" w:hAnsi="Arial" w:cs="Arial"/>
                <w:sz w:val="22"/>
                <w:szCs w:val="22"/>
              </w:rPr>
              <w:t>) / įvykdyta (-</w:t>
            </w:r>
            <w:proofErr w:type="spellStart"/>
            <w:r w:rsidRPr="00343362">
              <w:rPr>
                <w:rFonts w:ascii="Arial" w:eastAsia="Times New Roman" w:hAnsi="Arial" w:cs="Arial"/>
                <w:sz w:val="22"/>
                <w:szCs w:val="22"/>
              </w:rPr>
              <w:t>os</w:t>
            </w:r>
            <w:proofErr w:type="spellEnd"/>
            <w:r w:rsidRPr="00343362">
              <w:rPr>
                <w:rFonts w:ascii="Arial" w:eastAsia="Times New Roman" w:hAnsi="Arial" w:cs="Arial"/>
                <w:sz w:val="22"/>
                <w:szCs w:val="22"/>
              </w:rPr>
              <w:t xml:space="preserve">) tinkamai, pateikiant tai įrodančius dokumentus </w:t>
            </w:r>
            <w:r w:rsidRPr="00D479D1">
              <w:rPr>
                <w:rFonts w:ascii="Arial" w:eastAsia="Times New Roman" w:hAnsi="Arial" w:cs="Arial"/>
                <w:b/>
                <w:bCs/>
                <w:sz w:val="22"/>
                <w:szCs w:val="22"/>
              </w:rPr>
              <w:t xml:space="preserve">(užsakymų kopijos, prekių priėmimo-perdavimo aktai ir pan.). </w:t>
            </w:r>
          </w:p>
          <w:p w14:paraId="5383FA45" w14:textId="77777777" w:rsidR="00343362" w:rsidRPr="00C5145F" w:rsidRDefault="00343362" w:rsidP="00343362">
            <w:pPr>
              <w:jc w:val="both"/>
              <w:rPr>
                <w:rFonts w:ascii="Arial" w:eastAsia="Times New Roman" w:hAnsi="Arial" w:cs="Arial"/>
                <w:sz w:val="22"/>
                <w:szCs w:val="22"/>
              </w:rPr>
            </w:pPr>
          </w:p>
          <w:p w14:paraId="711C4741" w14:textId="77777777" w:rsidR="006826FF" w:rsidRDefault="00343362" w:rsidP="00AF7614">
            <w:pPr>
              <w:jc w:val="both"/>
              <w:rPr>
                <w:rFonts w:ascii="Arial" w:eastAsia="Times New Roman" w:hAnsi="Arial" w:cs="Arial"/>
                <w:sz w:val="22"/>
                <w:szCs w:val="22"/>
              </w:rPr>
            </w:pPr>
            <w:r>
              <w:rPr>
                <w:rFonts w:ascii="Arial" w:eastAsia="Times New Roman" w:hAnsi="Arial" w:cs="Arial"/>
                <w:sz w:val="22"/>
                <w:szCs w:val="22"/>
              </w:rPr>
              <w:t xml:space="preserve">Dėl 14 kvalifikacinio reikalavimo: </w:t>
            </w:r>
          </w:p>
          <w:p w14:paraId="281D1789" w14:textId="77777777" w:rsidR="00343362" w:rsidRDefault="00343362" w:rsidP="00AF7614">
            <w:pPr>
              <w:jc w:val="both"/>
              <w:rPr>
                <w:rFonts w:ascii="Arial" w:eastAsia="Times New Roman" w:hAnsi="Arial" w:cs="Arial"/>
                <w:sz w:val="22"/>
                <w:szCs w:val="22"/>
              </w:rPr>
            </w:pPr>
            <w:r>
              <w:rPr>
                <w:rFonts w:ascii="Arial" w:eastAsia="Times New Roman" w:hAnsi="Arial" w:cs="Arial"/>
                <w:sz w:val="22"/>
                <w:szCs w:val="22"/>
              </w:rPr>
              <w:t>LTG paaiškina,</w:t>
            </w:r>
            <w:r w:rsidR="00E97864">
              <w:rPr>
                <w:rFonts w:ascii="Arial" w:eastAsia="Times New Roman" w:hAnsi="Arial" w:cs="Arial"/>
                <w:sz w:val="22"/>
                <w:szCs w:val="22"/>
              </w:rPr>
              <w:t xml:space="preserve"> </w:t>
            </w:r>
            <w:r w:rsidR="00611136">
              <w:rPr>
                <w:rFonts w:ascii="Arial" w:eastAsia="Times New Roman" w:hAnsi="Arial" w:cs="Arial"/>
                <w:sz w:val="22"/>
                <w:szCs w:val="22"/>
              </w:rPr>
              <w:t xml:space="preserve">kad </w:t>
            </w:r>
            <w:r w:rsidR="00611136">
              <w:t xml:space="preserve"> </w:t>
            </w:r>
            <w:r w:rsidR="00611136" w:rsidRPr="00611136">
              <w:rPr>
                <w:rFonts w:ascii="Arial" w:eastAsia="Times New Roman" w:hAnsi="Arial" w:cs="Arial"/>
                <w:sz w:val="22"/>
                <w:szCs w:val="22"/>
              </w:rPr>
              <w:t>Jei tiekėjas teikia informaciją apie vykdomą sutartį, laikoma, kad jo patirtis atitinka keliamą reikalavimą, jei vykdomos sutarties apimtyje tiekėjas suprojektavo ir/ar pagamino bent vieną riedmens tipą (riedmenį), kuriam buvo išduotas leidimas eksploatuoti 1520 (1524) mm vėžėje.</w:t>
            </w:r>
            <w:r w:rsidR="002750AA">
              <w:rPr>
                <w:rFonts w:ascii="Arial" w:eastAsia="Times New Roman" w:hAnsi="Arial" w:cs="Arial"/>
                <w:sz w:val="22"/>
                <w:szCs w:val="22"/>
              </w:rPr>
              <w:t xml:space="preserve"> </w:t>
            </w:r>
          </w:p>
          <w:p w14:paraId="14648691" w14:textId="15C6B996" w:rsidR="002750AA" w:rsidRDefault="002750AA" w:rsidP="00AF7614">
            <w:pPr>
              <w:jc w:val="both"/>
              <w:rPr>
                <w:rFonts w:ascii="Arial" w:eastAsia="Times New Roman" w:hAnsi="Arial" w:cs="Arial"/>
                <w:sz w:val="22"/>
                <w:szCs w:val="22"/>
              </w:rPr>
            </w:pPr>
          </w:p>
          <w:p w14:paraId="1D364B8C" w14:textId="77777777" w:rsidR="00CD66D5" w:rsidRPr="00D479D1" w:rsidRDefault="00CD66D5" w:rsidP="00CD66D5">
            <w:pPr>
              <w:jc w:val="both"/>
              <w:rPr>
                <w:rFonts w:ascii="Arial" w:eastAsia="Times New Roman" w:hAnsi="Arial" w:cs="Arial"/>
                <w:b/>
                <w:bCs/>
                <w:sz w:val="22"/>
                <w:szCs w:val="22"/>
              </w:rPr>
            </w:pPr>
            <w:r w:rsidRPr="00D479D1">
              <w:rPr>
                <w:rFonts w:ascii="Arial" w:eastAsia="Times New Roman" w:hAnsi="Arial" w:cs="Arial"/>
                <w:b/>
                <w:bCs/>
                <w:sz w:val="22"/>
                <w:szCs w:val="22"/>
              </w:rPr>
              <w:t>Tiekėjas turi pateikti:</w:t>
            </w:r>
          </w:p>
          <w:p w14:paraId="46FD0E4E" w14:textId="77777777" w:rsidR="00CD66D5" w:rsidRPr="00CD66D5" w:rsidRDefault="00CD66D5" w:rsidP="00CD66D5">
            <w:pPr>
              <w:jc w:val="both"/>
              <w:rPr>
                <w:rFonts w:ascii="Arial" w:eastAsia="Times New Roman" w:hAnsi="Arial" w:cs="Arial"/>
                <w:sz w:val="22"/>
                <w:szCs w:val="22"/>
              </w:rPr>
            </w:pPr>
            <w:r w:rsidRPr="00CD66D5">
              <w:rPr>
                <w:rFonts w:ascii="Arial" w:eastAsia="Times New Roman" w:hAnsi="Arial" w:cs="Arial"/>
                <w:sz w:val="22"/>
                <w:szCs w:val="22"/>
              </w:rPr>
              <w:t xml:space="preserve">1. pagrindinių per pastaruosius 10 (dešimt) metus įvykdytų ir (ar) vykdomų sutarčių sąrašą, </w:t>
            </w:r>
            <w:r w:rsidRPr="00CD66D5">
              <w:rPr>
                <w:rFonts w:ascii="Arial" w:eastAsia="Times New Roman" w:hAnsi="Arial" w:cs="Arial"/>
                <w:sz w:val="22"/>
                <w:szCs w:val="22"/>
              </w:rPr>
              <w:lastRenderedPageBreak/>
              <w:t xml:space="preserve">parengiamą pagal KVS 3 priede reikalaujamą informaciją;  </w:t>
            </w:r>
          </w:p>
          <w:p w14:paraId="751A9502" w14:textId="77777777" w:rsidR="00CD66D5" w:rsidRPr="00CD66D5" w:rsidRDefault="00CD66D5" w:rsidP="00CD66D5">
            <w:pPr>
              <w:jc w:val="both"/>
              <w:rPr>
                <w:rFonts w:ascii="Arial" w:eastAsia="Times New Roman" w:hAnsi="Arial" w:cs="Arial"/>
                <w:sz w:val="22"/>
                <w:szCs w:val="22"/>
              </w:rPr>
            </w:pPr>
            <w:r w:rsidRPr="00CD66D5">
              <w:rPr>
                <w:rFonts w:ascii="Arial" w:eastAsia="Times New Roman" w:hAnsi="Arial" w:cs="Arial"/>
                <w:sz w:val="22"/>
                <w:szCs w:val="22"/>
              </w:rPr>
              <w:t>2. jei sutartis (-</w:t>
            </w:r>
            <w:proofErr w:type="spellStart"/>
            <w:r w:rsidRPr="00CD66D5">
              <w:rPr>
                <w:rFonts w:ascii="Arial" w:eastAsia="Times New Roman" w:hAnsi="Arial" w:cs="Arial"/>
                <w:sz w:val="22"/>
                <w:szCs w:val="22"/>
              </w:rPr>
              <w:t>ys</w:t>
            </w:r>
            <w:proofErr w:type="spellEnd"/>
            <w:r w:rsidRPr="00CD66D5">
              <w:rPr>
                <w:rFonts w:ascii="Arial" w:eastAsia="Times New Roman" w:hAnsi="Arial" w:cs="Arial"/>
                <w:sz w:val="22"/>
                <w:szCs w:val="22"/>
              </w:rPr>
              <w:t>) įvykdyta (-</w:t>
            </w:r>
            <w:proofErr w:type="spellStart"/>
            <w:r w:rsidRPr="00CD66D5">
              <w:rPr>
                <w:rFonts w:ascii="Arial" w:eastAsia="Times New Roman" w:hAnsi="Arial" w:cs="Arial"/>
                <w:sz w:val="22"/>
                <w:szCs w:val="22"/>
              </w:rPr>
              <w:t>os</w:t>
            </w:r>
            <w:proofErr w:type="spellEnd"/>
            <w:r w:rsidRPr="00CD66D5">
              <w:rPr>
                <w:rFonts w:ascii="Arial" w:eastAsia="Times New Roman" w:hAnsi="Arial" w:cs="Arial"/>
                <w:sz w:val="22"/>
                <w:szCs w:val="22"/>
              </w:rPr>
              <w:t>) / vykdoma (-</w:t>
            </w:r>
            <w:proofErr w:type="spellStart"/>
            <w:r w:rsidRPr="00CD66D5">
              <w:rPr>
                <w:rFonts w:ascii="Arial" w:eastAsia="Times New Roman" w:hAnsi="Arial" w:cs="Arial"/>
                <w:sz w:val="22"/>
                <w:szCs w:val="22"/>
              </w:rPr>
              <w:t>os</w:t>
            </w:r>
            <w:proofErr w:type="spellEnd"/>
            <w:r w:rsidRPr="00CD66D5">
              <w:rPr>
                <w:rFonts w:ascii="Arial" w:eastAsia="Times New Roman" w:hAnsi="Arial" w:cs="Arial"/>
                <w:sz w:val="22"/>
                <w:szCs w:val="22"/>
              </w:rPr>
              <w:t>) JVS pagrindu, pateikti dokumentus, įrodančius kad įvykdytos (-ų) / vykdomos (-ų) sutarties (-</w:t>
            </w:r>
            <w:proofErr w:type="spellStart"/>
            <w:r w:rsidRPr="00CD66D5">
              <w:rPr>
                <w:rFonts w:ascii="Arial" w:eastAsia="Times New Roman" w:hAnsi="Arial" w:cs="Arial"/>
                <w:sz w:val="22"/>
                <w:szCs w:val="22"/>
              </w:rPr>
              <w:t>čių</w:t>
            </w:r>
            <w:proofErr w:type="spellEnd"/>
            <w:r w:rsidRPr="00CD66D5">
              <w:rPr>
                <w:rFonts w:ascii="Arial" w:eastAsia="Times New Roman" w:hAnsi="Arial" w:cs="Arial"/>
                <w:sz w:val="22"/>
                <w:szCs w:val="22"/>
              </w:rPr>
              <w:t xml:space="preserve">) apimtyje tiekėjas atliko riedmenų projektavimą ir/ar juos gamino; </w:t>
            </w:r>
          </w:p>
          <w:p w14:paraId="17D3634B" w14:textId="77777777" w:rsidR="00CD66D5" w:rsidRPr="00CD66D5" w:rsidRDefault="00CD66D5" w:rsidP="00CD66D5">
            <w:pPr>
              <w:jc w:val="both"/>
              <w:rPr>
                <w:rFonts w:ascii="Arial" w:eastAsia="Times New Roman" w:hAnsi="Arial" w:cs="Arial"/>
                <w:sz w:val="22"/>
                <w:szCs w:val="22"/>
              </w:rPr>
            </w:pPr>
            <w:r w:rsidRPr="00CD66D5">
              <w:rPr>
                <w:rFonts w:ascii="Arial" w:eastAsia="Times New Roman" w:hAnsi="Arial" w:cs="Arial"/>
                <w:sz w:val="22"/>
                <w:szCs w:val="22"/>
              </w:rPr>
              <w:t>3. leidimo eksploatuoti suprojektuotą ir pagamintą riedmenį 1520 (1524) mm vėžėje skaitmeninę kopiją;</w:t>
            </w:r>
          </w:p>
          <w:p w14:paraId="2394E793" w14:textId="77777777" w:rsidR="00CD66D5" w:rsidRPr="00CD66D5" w:rsidRDefault="00CD66D5" w:rsidP="00CD66D5">
            <w:pPr>
              <w:jc w:val="both"/>
              <w:rPr>
                <w:rFonts w:ascii="Arial" w:eastAsia="Times New Roman" w:hAnsi="Arial" w:cs="Arial"/>
                <w:sz w:val="22"/>
                <w:szCs w:val="22"/>
              </w:rPr>
            </w:pPr>
          </w:p>
          <w:p w14:paraId="2284B624" w14:textId="77777777" w:rsidR="00CD66D5" w:rsidRPr="00CD66D5" w:rsidRDefault="00CD66D5" w:rsidP="00CD66D5">
            <w:pPr>
              <w:jc w:val="both"/>
              <w:rPr>
                <w:rFonts w:ascii="Arial" w:eastAsia="Times New Roman" w:hAnsi="Arial" w:cs="Arial"/>
                <w:sz w:val="22"/>
                <w:szCs w:val="22"/>
              </w:rPr>
            </w:pPr>
          </w:p>
          <w:p w14:paraId="584C3E58" w14:textId="77777777" w:rsidR="00CD66D5" w:rsidRPr="00D479D1" w:rsidRDefault="00CD66D5" w:rsidP="00CD66D5">
            <w:pPr>
              <w:jc w:val="both"/>
              <w:rPr>
                <w:rFonts w:ascii="Arial" w:eastAsia="Times New Roman" w:hAnsi="Arial" w:cs="Arial"/>
                <w:b/>
                <w:bCs/>
                <w:sz w:val="22"/>
                <w:szCs w:val="22"/>
              </w:rPr>
            </w:pPr>
            <w:r w:rsidRPr="00D479D1">
              <w:rPr>
                <w:rFonts w:ascii="Arial" w:eastAsia="Times New Roman" w:hAnsi="Arial" w:cs="Arial"/>
                <w:b/>
                <w:bCs/>
                <w:sz w:val="22"/>
                <w:szCs w:val="22"/>
              </w:rPr>
              <w:t>LTG prašymu, tiekėjas turės pateikti:</w:t>
            </w:r>
          </w:p>
          <w:p w14:paraId="63CAABF9" w14:textId="0000A9D0" w:rsidR="002750AA" w:rsidRPr="00DC37E8" w:rsidRDefault="00CD66D5" w:rsidP="00CD66D5">
            <w:pPr>
              <w:jc w:val="both"/>
              <w:rPr>
                <w:rFonts w:ascii="Arial" w:eastAsia="Times New Roman" w:hAnsi="Arial" w:cs="Arial"/>
                <w:sz w:val="22"/>
                <w:szCs w:val="22"/>
              </w:rPr>
            </w:pPr>
            <w:r w:rsidRPr="00CD66D5">
              <w:rPr>
                <w:rFonts w:ascii="Arial" w:eastAsia="Times New Roman" w:hAnsi="Arial" w:cs="Arial"/>
                <w:sz w:val="22"/>
                <w:szCs w:val="22"/>
              </w:rPr>
              <w:t>1.  laisvos formos užsakovo raštišką patvirtinimą, kad sutartis (-</w:t>
            </w:r>
            <w:proofErr w:type="spellStart"/>
            <w:r w:rsidRPr="00CD66D5">
              <w:rPr>
                <w:rFonts w:ascii="Arial" w:eastAsia="Times New Roman" w:hAnsi="Arial" w:cs="Arial"/>
                <w:sz w:val="22"/>
                <w:szCs w:val="22"/>
              </w:rPr>
              <w:t>ys</w:t>
            </w:r>
            <w:proofErr w:type="spellEnd"/>
            <w:r w:rsidRPr="00CD66D5">
              <w:rPr>
                <w:rFonts w:ascii="Arial" w:eastAsia="Times New Roman" w:hAnsi="Arial" w:cs="Arial"/>
                <w:sz w:val="22"/>
                <w:szCs w:val="22"/>
              </w:rPr>
              <w:t>) vykdoma (-</w:t>
            </w:r>
            <w:proofErr w:type="spellStart"/>
            <w:r w:rsidRPr="00CD66D5">
              <w:rPr>
                <w:rFonts w:ascii="Arial" w:eastAsia="Times New Roman" w:hAnsi="Arial" w:cs="Arial"/>
                <w:sz w:val="22"/>
                <w:szCs w:val="22"/>
              </w:rPr>
              <w:t>os</w:t>
            </w:r>
            <w:proofErr w:type="spellEnd"/>
            <w:r w:rsidRPr="00CD66D5">
              <w:rPr>
                <w:rFonts w:ascii="Arial" w:eastAsia="Times New Roman" w:hAnsi="Arial" w:cs="Arial"/>
                <w:sz w:val="22"/>
                <w:szCs w:val="22"/>
              </w:rPr>
              <w:t>) / įvykdyta (-</w:t>
            </w:r>
            <w:proofErr w:type="spellStart"/>
            <w:r w:rsidRPr="00CD66D5">
              <w:rPr>
                <w:rFonts w:ascii="Arial" w:eastAsia="Times New Roman" w:hAnsi="Arial" w:cs="Arial"/>
                <w:sz w:val="22"/>
                <w:szCs w:val="22"/>
              </w:rPr>
              <w:t>os</w:t>
            </w:r>
            <w:proofErr w:type="spellEnd"/>
            <w:r w:rsidRPr="00CD66D5">
              <w:rPr>
                <w:rFonts w:ascii="Arial" w:eastAsia="Times New Roman" w:hAnsi="Arial" w:cs="Arial"/>
                <w:sz w:val="22"/>
                <w:szCs w:val="22"/>
              </w:rPr>
              <w:t>) tinkamai, parengtą pagal LTG prašyme nurodytus kriterijus. Tiekėjui nepateiktus tokio patvirtinimo, LTG gali prašyti tiekėjo įrodyti, kad sutartis (-</w:t>
            </w:r>
            <w:proofErr w:type="spellStart"/>
            <w:r w:rsidRPr="00CD66D5">
              <w:rPr>
                <w:rFonts w:ascii="Arial" w:eastAsia="Times New Roman" w:hAnsi="Arial" w:cs="Arial"/>
                <w:sz w:val="22"/>
                <w:szCs w:val="22"/>
              </w:rPr>
              <w:t>ys</w:t>
            </w:r>
            <w:proofErr w:type="spellEnd"/>
            <w:r w:rsidRPr="00CD66D5">
              <w:rPr>
                <w:rFonts w:ascii="Arial" w:eastAsia="Times New Roman" w:hAnsi="Arial" w:cs="Arial"/>
                <w:sz w:val="22"/>
                <w:szCs w:val="22"/>
              </w:rPr>
              <w:t>) vykdoma (-</w:t>
            </w:r>
            <w:proofErr w:type="spellStart"/>
            <w:r w:rsidRPr="00CD66D5">
              <w:rPr>
                <w:rFonts w:ascii="Arial" w:eastAsia="Times New Roman" w:hAnsi="Arial" w:cs="Arial"/>
                <w:sz w:val="22"/>
                <w:szCs w:val="22"/>
              </w:rPr>
              <w:t>os</w:t>
            </w:r>
            <w:proofErr w:type="spellEnd"/>
            <w:r w:rsidRPr="00CD66D5">
              <w:rPr>
                <w:rFonts w:ascii="Arial" w:eastAsia="Times New Roman" w:hAnsi="Arial" w:cs="Arial"/>
                <w:sz w:val="22"/>
                <w:szCs w:val="22"/>
              </w:rPr>
              <w:t>) / įvykdyta (-</w:t>
            </w:r>
            <w:proofErr w:type="spellStart"/>
            <w:r w:rsidRPr="00CD66D5">
              <w:rPr>
                <w:rFonts w:ascii="Arial" w:eastAsia="Times New Roman" w:hAnsi="Arial" w:cs="Arial"/>
                <w:sz w:val="22"/>
                <w:szCs w:val="22"/>
              </w:rPr>
              <w:t>os</w:t>
            </w:r>
            <w:proofErr w:type="spellEnd"/>
            <w:r w:rsidRPr="00CD66D5">
              <w:rPr>
                <w:rFonts w:ascii="Arial" w:eastAsia="Times New Roman" w:hAnsi="Arial" w:cs="Arial"/>
                <w:sz w:val="22"/>
                <w:szCs w:val="22"/>
              </w:rPr>
              <w:t xml:space="preserve">) tinkamai, pateikiant tai įrodančius dokumentus </w:t>
            </w:r>
            <w:r w:rsidRPr="00D479D1">
              <w:rPr>
                <w:rFonts w:ascii="Arial" w:eastAsia="Times New Roman" w:hAnsi="Arial" w:cs="Arial"/>
                <w:b/>
                <w:bCs/>
                <w:sz w:val="22"/>
                <w:szCs w:val="22"/>
              </w:rPr>
              <w:t>(užsakymų kopijos, prekių priėmimo-perdavimo aktai ir pan.).</w:t>
            </w:r>
          </w:p>
        </w:tc>
        <w:tc>
          <w:tcPr>
            <w:tcW w:w="2794" w:type="dxa"/>
          </w:tcPr>
          <w:p w14:paraId="2F8B94EC" w14:textId="77777777" w:rsidR="002E5768" w:rsidRPr="000353F2" w:rsidRDefault="002E5768" w:rsidP="002E5768">
            <w:pPr>
              <w:jc w:val="both"/>
              <w:rPr>
                <w:rFonts w:ascii="Arial" w:eastAsia="Times New Roman" w:hAnsi="Arial" w:cs="Arial"/>
                <w:b/>
                <w:bCs/>
                <w:sz w:val="22"/>
                <w:szCs w:val="22"/>
                <w:lang w:val="en-US" w:eastAsia="ar-SA"/>
              </w:rPr>
            </w:pPr>
            <w:r w:rsidRPr="000353F2">
              <w:rPr>
                <w:rFonts w:ascii="Arial" w:eastAsia="Times New Roman" w:hAnsi="Arial" w:cs="Arial"/>
                <w:b/>
                <w:bCs/>
                <w:sz w:val="22"/>
                <w:szCs w:val="22"/>
                <w:lang w:val="en-US" w:eastAsia="ar-SA"/>
              </w:rPr>
              <w:lastRenderedPageBreak/>
              <w:t>Regarding qualification requirement 13:</w:t>
            </w:r>
          </w:p>
          <w:p w14:paraId="09195700" w14:textId="77777777" w:rsidR="002C1968" w:rsidRPr="000353F2" w:rsidRDefault="002E5768" w:rsidP="002E5768">
            <w:pPr>
              <w:jc w:val="both"/>
              <w:rPr>
                <w:rFonts w:ascii="Arial" w:eastAsia="Times New Roman" w:hAnsi="Arial" w:cs="Arial"/>
                <w:sz w:val="22"/>
                <w:szCs w:val="22"/>
                <w:lang w:val="en-US" w:eastAsia="ar-SA"/>
              </w:rPr>
            </w:pPr>
            <w:r w:rsidRPr="000353F2">
              <w:rPr>
                <w:rFonts w:ascii="Arial" w:eastAsia="Times New Roman" w:hAnsi="Arial" w:cs="Arial"/>
                <w:sz w:val="22"/>
                <w:szCs w:val="22"/>
                <w:lang w:val="en-US" w:eastAsia="ar-SA"/>
              </w:rPr>
              <w:t>LTG explains that</w:t>
            </w:r>
            <w:r w:rsidR="005C3D4B" w:rsidRPr="000353F2">
              <w:rPr>
                <w:rFonts w:ascii="Arial" w:eastAsia="Times New Roman" w:hAnsi="Arial" w:cs="Arial"/>
                <w:sz w:val="22"/>
                <w:szCs w:val="22"/>
                <w:lang w:val="en-US" w:eastAsia="ar-SA"/>
              </w:rPr>
              <w:t xml:space="preserve"> if the supplier provides information on the contract(s), which is(are) under performance, it shall be deemed that its experience meets the established requirements provided that the executed part of the contract(s), which is under performance within the last 10 (ten ) years or within the period after the date of registration (if the supplier has been operating for less than 10  (ten ) years) is not less than EUR 57  (fifty seven ) million.</w:t>
            </w:r>
            <w:r w:rsidR="000353F2" w:rsidRPr="000353F2">
              <w:rPr>
                <w:rFonts w:ascii="Arial" w:eastAsia="Times New Roman" w:hAnsi="Arial" w:cs="Arial"/>
                <w:sz w:val="22"/>
                <w:szCs w:val="22"/>
                <w:lang w:val="en-US" w:eastAsia="ar-SA"/>
              </w:rPr>
              <w:t xml:space="preserve"> </w:t>
            </w:r>
          </w:p>
          <w:p w14:paraId="1574043A" w14:textId="77777777" w:rsidR="000353F2" w:rsidRPr="000353F2" w:rsidRDefault="000353F2" w:rsidP="002E5768">
            <w:pPr>
              <w:jc w:val="both"/>
              <w:rPr>
                <w:rFonts w:ascii="Arial" w:eastAsia="Times New Roman" w:hAnsi="Arial" w:cs="Arial"/>
                <w:sz w:val="22"/>
                <w:szCs w:val="22"/>
                <w:lang w:val="en-US" w:eastAsia="ar-SA"/>
              </w:rPr>
            </w:pPr>
          </w:p>
          <w:p w14:paraId="44C449F9" w14:textId="77777777" w:rsidR="000353F2" w:rsidRPr="000353F2" w:rsidRDefault="000353F2" w:rsidP="000353F2">
            <w:pPr>
              <w:jc w:val="both"/>
              <w:rPr>
                <w:rFonts w:ascii="Arial" w:eastAsia="Times New Roman" w:hAnsi="Arial" w:cs="Arial"/>
                <w:b/>
                <w:bCs/>
                <w:sz w:val="22"/>
                <w:szCs w:val="22"/>
                <w:lang w:val="en-US" w:eastAsia="ar-SA"/>
              </w:rPr>
            </w:pPr>
            <w:r w:rsidRPr="000353F2">
              <w:rPr>
                <w:rFonts w:ascii="Arial" w:eastAsia="Times New Roman" w:hAnsi="Arial" w:cs="Arial"/>
                <w:b/>
                <w:bCs/>
                <w:sz w:val="22"/>
                <w:szCs w:val="22"/>
                <w:lang w:val="en-US" w:eastAsia="ar-SA"/>
              </w:rPr>
              <w:t>The supplier must provide:</w:t>
            </w:r>
          </w:p>
          <w:p w14:paraId="3956A7CE" w14:textId="77777777" w:rsidR="000353F2" w:rsidRPr="000353F2" w:rsidRDefault="000353F2" w:rsidP="000353F2">
            <w:pPr>
              <w:jc w:val="both"/>
              <w:rPr>
                <w:rFonts w:ascii="Arial" w:eastAsia="Times New Roman" w:hAnsi="Arial" w:cs="Arial"/>
                <w:sz w:val="22"/>
                <w:szCs w:val="22"/>
                <w:lang w:val="en-US" w:eastAsia="ar-SA"/>
              </w:rPr>
            </w:pPr>
            <w:r w:rsidRPr="000353F2">
              <w:rPr>
                <w:rFonts w:ascii="Arial" w:eastAsia="Times New Roman" w:hAnsi="Arial" w:cs="Arial"/>
                <w:sz w:val="22"/>
                <w:szCs w:val="22"/>
                <w:lang w:val="en-US" w:eastAsia="ar-SA"/>
              </w:rPr>
              <w:t xml:space="preserve">1. a list of main contracts performed and/or to be performed during the last 10 (ten) years prepared </w:t>
            </w:r>
            <w:r w:rsidRPr="000353F2">
              <w:rPr>
                <w:rFonts w:ascii="Arial" w:eastAsia="Times New Roman" w:hAnsi="Arial" w:cs="Arial"/>
                <w:sz w:val="22"/>
                <w:szCs w:val="22"/>
                <w:lang w:val="en-US" w:eastAsia="ar-SA"/>
              </w:rPr>
              <w:lastRenderedPageBreak/>
              <w:t>according to information required within Annex 3 of the QAS.</w:t>
            </w:r>
          </w:p>
          <w:p w14:paraId="4C705537" w14:textId="77777777" w:rsidR="000353F2" w:rsidRPr="000353F2" w:rsidRDefault="000353F2" w:rsidP="000353F2">
            <w:pPr>
              <w:jc w:val="both"/>
              <w:rPr>
                <w:rFonts w:ascii="Arial" w:eastAsia="Times New Roman" w:hAnsi="Arial" w:cs="Arial"/>
                <w:sz w:val="22"/>
                <w:szCs w:val="22"/>
                <w:lang w:val="en-US" w:eastAsia="ar-SA"/>
              </w:rPr>
            </w:pPr>
            <w:r w:rsidRPr="000353F2">
              <w:rPr>
                <w:rFonts w:ascii="Arial" w:eastAsia="Times New Roman" w:hAnsi="Arial" w:cs="Arial"/>
                <w:sz w:val="22"/>
                <w:szCs w:val="22"/>
                <w:lang w:val="en-US" w:eastAsia="ar-SA"/>
              </w:rPr>
              <w:t>2. digital copies of authorizations issued for contact(s) object(s) (Goods), in accordance with Directive 2008/57/ EC of the European Parliament and of the Council of 17 June 2008 on the interoperability of the rail system within the Community.</w:t>
            </w:r>
          </w:p>
          <w:p w14:paraId="0C81EE7C" w14:textId="77777777" w:rsidR="000353F2" w:rsidRPr="000353F2" w:rsidRDefault="000353F2" w:rsidP="000353F2">
            <w:pPr>
              <w:jc w:val="both"/>
              <w:rPr>
                <w:rFonts w:ascii="Arial" w:eastAsia="Times New Roman" w:hAnsi="Arial" w:cs="Arial"/>
                <w:sz w:val="22"/>
                <w:szCs w:val="22"/>
                <w:lang w:val="en-US" w:eastAsia="ar-SA"/>
              </w:rPr>
            </w:pPr>
          </w:p>
          <w:p w14:paraId="6FA6B3CE" w14:textId="77777777" w:rsidR="000353F2" w:rsidRPr="000353F2" w:rsidRDefault="000353F2" w:rsidP="000353F2">
            <w:pPr>
              <w:jc w:val="both"/>
              <w:rPr>
                <w:rFonts w:ascii="Arial" w:eastAsia="Times New Roman" w:hAnsi="Arial" w:cs="Arial"/>
                <w:b/>
                <w:bCs/>
                <w:sz w:val="22"/>
                <w:szCs w:val="22"/>
                <w:lang w:val="en-US" w:eastAsia="ar-SA"/>
              </w:rPr>
            </w:pPr>
            <w:r w:rsidRPr="000353F2">
              <w:rPr>
                <w:rFonts w:ascii="Arial" w:eastAsia="Times New Roman" w:hAnsi="Arial" w:cs="Arial"/>
                <w:b/>
                <w:bCs/>
                <w:sz w:val="22"/>
                <w:szCs w:val="22"/>
                <w:lang w:val="en-US" w:eastAsia="ar-SA"/>
              </w:rPr>
              <w:t>At the request of LTG, the supplier must provide:</w:t>
            </w:r>
          </w:p>
          <w:p w14:paraId="6133610B" w14:textId="77777777" w:rsidR="000353F2" w:rsidRDefault="000353F2" w:rsidP="000353F2">
            <w:pPr>
              <w:jc w:val="both"/>
              <w:rPr>
                <w:rFonts w:ascii="Arial" w:eastAsia="Times New Roman" w:hAnsi="Arial" w:cs="Arial"/>
                <w:b/>
                <w:bCs/>
                <w:sz w:val="22"/>
                <w:szCs w:val="22"/>
                <w:lang w:val="en-US" w:eastAsia="ar-SA"/>
              </w:rPr>
            </w:pPr>
            <w:r w:rsidRPr="000353F2">
              <w:rPr>
                <w:rFonts w:ascii="Arial" w:eastAsia="Times New Roman" w:hAnsi="Arial" w:cs="Arial"/>
                <w:sz w:val="22"/>
                <w:szCs w:val="22"/>
                <w:lang w:val="en-US" w:eastAsia="ar-SA"/>
              </w:rPr>
              <w:t xml:space="preserve">1. free form written confirmation from the buyer that the contract(s) has(have) is(are) being/been performed properly, prepared in accordance with the criteria specified in LTG request. If supplier fails to submit such confirmation. LTG may request the Supplier to prove that the Contract (s) is(are) being/been performed properly by providing documents proving it </w:t>
            </w:r>
            <w:r w:rsidRPr="000353F2">
              <w:rPr>
                <w:rFonts w:ascii="Arial" w:eastAsia="Times New Roman" w:hAnsi="Arial" w:cs="Arial"/>
                <w:b/>
                <w:bCs/>
                <w:sz w:val="22"/>
                <w:szCs w:val="22"/>
                <w:lang w:val="en-US" w:eastAsia="ar-SA"/>
              </w:rPr>
              <w:t>(copies of orders, deeds of acceptance-transfer of goods, etc.).</w:t>
            </w:r>
            <w:r>
              <w:rPr>
                <w:rFonts w:ascii="Arial" w:eastAsia="Times New Roman" w:hAnsi="Arial" w:cs="Arial"/>
                <w:b/>
                <w:bCs/>
                <w:sz w:val="22"/>
                <w:szCs w:val="22"/>
                <w:lang w:val="en-US" w:eastAsia="ar-SA"/>
              </w:rPr>
              <w:t xml:space="preserve"> </w:t>
            </w:r>
          </w:p>
          <w:p w14:paraId="788F0024" w14:textId="77777777" w:rsidR="000353F2" w:rsidRDefault="000353F2" w:rsidP="000353F2">
            <w:pPr>
              <w:jc w:val="both"/>
              <w:rPr>
                <w:rFonts w:ascii="Arial" w:eastAsia="Times New Roman" w:hAnsi="Arial" w:cs="Arial"/>
                <w:sz w:val="22"/>
                <w:szCs w:val="22"/>
                <w:lang w:eastAsia="ar-SA"/>
              </w:rPr>
            </w:pPr>
          </w:p>
          <w:p w14:paraId="431426BD" w14:textId="6841BEEF" w:rsidR="000353F2" w:rsidRPr="00F127A8" w:rsidRDefault="000353F2" w:rsidP="000353F2">
            <w:pPr>
              <w:jc w:val="both"/>
              <w:rPr>
                <w:rFonts w:ascii="Arial" w:eastAsia="Times New Roman" w:hAnsi="Arial" w:cs="Arial"/>
                <w:b/>
                <w:bCs/>
                <w:sz w:val="22"/>
                <w:szCs w:val="22"/>
                <w:lang w:val="en-US" w:eastAsia="ar-SA"/>
              </w:rPr>
            </w:pPr>
            <w:r w:rsidRPr="00F127A8">
              <w:rPr>
                <w:rFonts w:ascii="Arial" w:eastAsia="Times New Roman" w:hAnsi="Arial" w:cs="Arial"/>
                <w:b/>
                <w:bCs/>
                <w:sz w:val="22"/>
                <w:szCs w:val="22"/>
                <w:lang w:val="en-US" w:eastAsia="ar-SA"/>
              </w:rPr>
              <w:t>Regarding qualification requirement 14:</w:t>
            </w:r>
          </w:p>
          <w:p w14:paraId="29D0FC0E" w14:textId="77777777" w:rsidR="000353F2" w:rsidRPr="00F127A8" w:rsidRDefault="000353F2" w:rsidP="000353F2">
            <w:pPr>
              <w:jc w:val="both"/>
              <w:rPr>
                <w:rFonts w:ascii="Arial" w:eastAsia="Times New Roman" w:hAnsi="Arial" w:cs="Arial"/>
                <w:sz w:val="22"/>
                <w:szCs w:val="22"/>
                <w:lang w:val="en-US" w:eastAsia="ar-SA"/>
              </w:rPr>
            </w:pPr>
            <w:r w:rsidRPr="00F127A8">
              <w:rPr>
                <w:rFonts w:ascii="Arial" w:eastAsia="Times New Roman" w:hAnsi="Arial" w:cs="Arial"/>
                <w:sz w:val="22"/>
                <w:szCs w:val="22"/>
                <w:lang w:val="en-US" w:eastAsia="ar-SA"/>
              </w:rPr>
              <w:t>LTG explains that</w:t>
            </w:r>
            <w:r w:rsidR="006C624B" w:rsidRPr="00F127A8">
              <w:rPr>
                <w:rFonts w:ascii="Arial" w:eastAsia="Times New Roman" w:hAnsi="Arial" w:cs="Arial"/>
                <w:sz w:val="22"/>
                <w:szCs w:val="22"/>
                <w:lang w:val="en-US" w:eastAsia="ar-SA"/>
              </w:rPr>
              <w:t xml:space="preserve"> </w:t>
            </w:r>
            <w:r w:rsidR="00972C03" w:rsidRPr="00F127A8">
              <w:rPr>
                <w:rFonts w:ascii="Arial" w:eastAsia="Times New Roman" w:hAnsi="Arial" w:cs="Arial"/>
                <w:sz w:val="22"/>
                <w:szCs w:val="22"/>
                <w:lang w:val="en-US" w:eastAsia="ar-SA"/>
              </w:rPr>
              <w:t xml:space="preserve">if the supplier provides information on the contract(s), which is(are) under performance, it shall be deemed that its experience meets the established requirements if, within the scope of the performance of the contract, the supplier has designed and / or </w:t>
            </w:r>
            <w:r w:rsidR="00972C03" w:rsidRPr="00F127A8">
              <w:rPr>
                <w:rFonts w:ascii="Arial" w:eastAsia="Times New Roman" w:hAnsi="Arial" w:cs="Arial"/>
                <w:sz w:val="22"/>
                <w:szCs w:val="22"/>
                <w:lang w:val="en-US" w:eastAsia="ar-SA"/>
              </w:rPr>
              <w:lastRenderedPageBreak/>
              <w:t>manufactured at least one rolling stock type (rolling stock) and the manufactured rolling stock was authorized to operate in 1520 (1524) mm gauge.</w:t>
            </w:r>
            <w:r w:rsidR="00F127A8" w:rsidRPr="00F127A8">
              <w:rPr>
                <w:rFonts w:ascii="Arial" w:eastAsia="Times New Roman" w:hAnsi="Arial" w:cs="Arial"/>
                <w:sz w:val="22"/>
                <w:szCs w:val="22"/>
                <w:lang w:val="en-US" w:eastAsia="ar-SA"/>
              </w:rPr>
              <w:t xml:space="preserve"> </w:t>
            </w:r>
          </w:p>
          <w:p w14:paraId="46AFA9AE" w14:textId="77777777" w:rsidR="00F127A8" w:rsidRPr="00F127A8" w:rsidRDefault="00F127A8" w:rsidP="000353F2">
            <w:pPr>
              <w:jc w:val="both"/>
              <w:rPr>
                <w:rFonts w:ascii="Arial" w:eastAsia="Times New Roman" w:hAnsi="Arial" w:cs="Arial"/>
                <w:sz w:val="22"/>
                <w:szCs w:val="22"/>
                <w:lang w:val="en-US" w:eastAsia="ar-SA"/>
              </w:rPr>
            </w:pPr>
          </w:p>
          <w:p w14:paraId="00D65C36" w14:textId="77777777" w:rsidR="00F127A8" w:rsidRPr="00F127A8" w:rsidRDefault="00F127A8" w:rsidP="00F127A8">
            <w:pPr>
              <w:jc w:val="both"/>
              <w:rPr>
                <w:rFonts w:ascii="Arial" w:eastAsia="Times New Roman" w:hAnsi="Arial" w:cs="Arial"/>
                <w:b/>
                <w:bCs/>
                <w:sz w:val="22"/>
                <w:szCs w:val="22"/>
                <w:lang w:val="en-US" w:eastAsia="ar-SA"/>
              </w:rPr>
            </w:pPr>
            <w:r w:rsidRPr="00F127A8">
              <w:rPr>
                <w:rFonts w:ascii="Arial" w:eastAsia="Times New Roman" w:hAnsi="Arial" w:cs="Arial"/>
                <w:b/>
                <w:bCs/>
                <w:sz w:val="22"/>
                <w:szCs w:val="22"/>
                <w:lang w:val="en-US" w:eastAsia="ar-SA"/>
              </w:rPr>
              <w:t>The supplier must provide:</w:t>
            </w:r>
          </w:p>
          <w:p w14:paraId="3A9C2928" w14:textId="77777777" w:rsidR="00F127A8" w:rsidRPr="00F127A8" w:rsidRDefault="00F127A8" w:rsidP="00F127A8">
            <w:pPr>
              <w:jc w:val="both"/>
              <w:rPr>
                <w:rFonts w:ascii="Arial" w:eastAsia="Times New Roman" w:hAnsi="Arial" w:cs="Arial"/>
                <w:sz w:val="22"/>
                <w:szCs w:val="22"/>
                <w:lang w:val="en-US" w:eastAsia="ar-SA"/>
              </w:rPr>
            </w:pPr>
            <w:r w:rsidRPr="00F127A8">
              <w:rPr>
                <w:rFonts w:ascii="Arial" w:eastAsia="Times New Roman" w:hAnsi="Arial" w:cs="Arial"/>
                <w:sz w:val="22"/>
                <w:szCs w:val="22"/>
                <w:lang w:val="en-US" w:eastAsia="ar-SA"/>
              </w:rPr>
              <w:t>1. a list of main contracts performed and/or to be performed during 10 (ten) years prepared according to information required within Annex 3 of the QAS.</w:t>
            </w:r>
          </w:p>
          <w:p w14:paraId="13E3BD73" w14:textId="77777777" w:rsidR="00F127A8" w:rsidRPr="00F127A8" w:rsidRDefault="00F127A8" w:rsidP="00F127A8">
            <w:pPr>
              <w:jc w:val="both"/>
              <w:rPr>
                <w:rFonts w:ascii="Arial" w:eastAsia="Times New Roman" w:hAnsi="Arial" w:cs="Arial"/>
                <w:sz w:val="22"/>
                <w:szCs w:val="22"/>
                <w:lang w:val="en-US" w:eastAsia="ar-SA"/>
              </w:rPr>
            </w:pPr>
            <w:r w:rsidRPr="00F127A8">
              <w:rPr>
                <w:rFonts w:ascii="Arial" w:eastAsia="Times New Roman" w:hAnsi="Arial" w:cs="Arial"/>
                <w:sz w:val="22"/>
                <w:szCs w:val="22"/>
                <w:lang w:val="en-US" w:eastAsia="ar-SA"/>
              </w:rPr>
              <w:t xml:space="preserve">2. if the contract (s) is / are performed </w:t>
            </w:r>
            <w:proofErr w:type="gramStart"/>
            <w:r w:rsidRPr="00F127A8">
              <w:rPr>
                <w:rFonts w:ascii="Arial" w:eastAsia="Times New Roman" w:hAnsi="Arial" w:cs="Arial"/>
                <w:sz w:val="22"/>
                <w:szCs w:val="22"/>
                <w:lang w:val="en-US" w:eastAsia="ar-SA"/>
              </w:rPr>
              <w:t>on the basis of</w:t>
            </w:r>
            <w:proofErr w:type="gramEnd"/>
            <w:r w:rsidRPr="00F127A8">
              <w:rPr>
                <w:rFonts w:ascii="Arial" w:eastAsia="Times New Roman" w:hAnsi="Arial" w:cs="Arial"/>
                <w:sz w:val="22"/>
                <w:szCs w:val="22"/>
                <w:lang w:val="en-US" w:eastAsia="ar-SA"/>
              </w:rPr>
              <w:t xml:space="preserve"> the joint activity agreement, provide documentation proving that the supplier has performed the design of the rolling stock and (or) manufactured them within the scope of the performed / performed contract (s).</w:t>
            </w:r>
          </w:p>
          <w:p w14:paraId="22E7A285" w14:textId="77777777" w:rsidR="00F127A8" w:rsidRPr="00F127A8" w:rsidRDefault="00F127A8" w:rsidP="00F127A8">
            <w:pPr>
              <w:jc w:val="both"/>
              <w:rPr>
                <w:rFonts w:ascii="Arial" w:eastAsia="Times New Roman" w:hAnsi="Arial" w:cs="Arial"/>
                <w:sz w:val="22"/>
                <w:szCs w:val="22"/>
                <w:lang w:val="en-US" w:eastAsia="ar-SA"/>
              </w:rPr>
            </w:pPr>
            <w:r w:rsidRPr="00F127A8">
              <w:rPr>
                <w:rFonts w:ascii="Arial" w:eastAsia="Times New Roman" w:hAnsi="Arial" w:cs="Arial"/>
                <w:sz w:val="22"/>
                <w:szCs w:val="22"/>
                <w:lang w:val="en-US" w:eastAsia="ar-SA"/>
              </w:rPr>
              <w:t>3. digital copies of authorization for the designed and manufactured rolling stock to be used on (1520 (1524) mm railroad gauge.</w:t>
            </w:r>
          </w:p>
          <w:p w14:paraId="2B529592" w14:textId="77777777" w:rsidR="00F127A8" w:rsidRPr="00F127A8" w:rsidRDefault="00F127A8" w:rsidP="00F127A8">
            <w:pPr>
              <w:jc w:val="both"/>
              <w:rPr>
                <w:rFonts w:ascii="Arial" w:eastAsia="Times New Roman" w:hAnsi="Arial" w:cs="Arial"/>
                <w:sz w:val="22"/>
                <w:szCs w:val="22"/>
                <w:lang w:val="en-US" w:eastAsia="ar-SA"/>
              </w:rPr>
            </w:pPr>
          </w:p>
          <w:p w14:paraId="1A40BFEF" w14:textId="77777777" w:rsidR="00F127A8" w:rsidRPr="00F127A8" w:rsidRDefault="00F127A8" w:rsidP="00F127A8">
            <w:pPr>
              <w:jc w:val="both"/>
              <w:rPr>
                <w:rFonts w:ascii="Arial" w:eastAsia="Times New Roman" w:hAnsi="Arial" w:cs="Arial"/>
                <w:b/>
                <w:bCs/>
                <w:sz w:val="22"/>
                <w:szCs w:val="22"/>
                <w:lang w:val="en-US" w:eastAsia="ar-SA"/>
              </w:rPr>
            </w:pPr>
            <w:r w:rsidRPr="00F127A8">
              <w:rPr>
                <w:rFonts w:ascii="Arial" w:eastAsia="Times New Roman" w:hAnsi="Arial" w:cs="Arial"/>
                <w:b/>
                <w:bCs/>
                <w:sz w:val="22"/>
                <w:szCs w:val="22"/>
                <w:lang w:val="en-US" w:eastAsia="ar-SA"/>
              </w:rPr>
              <w:t>At the request of LTG, the supplier must provide:</w:t>
            </w:r>
          </w:p>
          <w:p w14:paraId="06D852A0" w14:textId="410FE8A6" w:rsidR="00F127A8" w:rsidRPr="00D53FCE" w:rsidRDefault="00F127A8" w:rsidP="00F127A8">
            <w:pPr>
              <w:jc w:val="both"/>
              <w:rPr>
                <w:rFonts w:ascii="Arial" w:eastAsia="Times New Roman" w:hAnsi="Arial" w:cs="Arial"/>
                <w:sz w:val="22"/>
                <w:szCs w:val="22"/>
                <w:lang w:eastAsia="ar-SA"/>
              </w:rPr>
            </w:pPr>
            <w:r w:rsidRPr="00F127A8">
              <w:rPr>
                <w:rFonts w:ascii="Arial" w:eastAsia="Times New Roman" w:hAnsi="Arial" w:cs="Arial"/>
                <w:sz w:val="22"/>
                <w:szCs w:val="22"/>
                <w:lang w:val="en-US" w:eastAsia="ar-SA"/>
              </w:rPr>
              <w:t xml:space="preserve">1. free form written confirmation from the buyer that the contract(s) has(have) is(are) being/been performed properly, prepared in accordance with the criteria specified in LTG request. If supplier fails to submit such confirmation, LTG may request the Supplier to prove that the </w:t>
            </w:r>
            <w:r w:rsidRPr="00F127A8">
              <w:rPr>
                <w:rFonts w:ascii="Arial" w:eastAsia="Times New Roman" w:hAnsi="Arial" w:cs="Arial"/>
                <w:sz w:val="22"/>
                <w:szCs w:val="22"/>
                <w:lang w:val="en-US" w:eastAsia="ar-SA"/>
              </w:rPr>
              <w:lastRenderedPageBreak/>
              <w:t xml:space="preserve">Contract (s) is(are) being/been performed properly by providing documents proving it </w:t>
            </w:r>
            <w:r w:rsidRPr="00F127A8">
              <w:rPr>
                <w:rFonts w:ascii="Arial" w:eastAsia="Times New Roman" w:hAnsi="Arial" w:cs="Arial"/>
                <w:b/>
                <w:bCs/>
                <w:sz w:val="22"/>
                <w:szCs w:val="22"/>
                <w:lang w:val="en-US" w:eastAsia="ar-SA"/>
              </w:rPr>
              <w:t>(copies of orders, deeds of acceptance-transfer of goods, etc.).</w:t>
            </w:r>
          </w:p>
        </w:tc>
      </w:tr>
    </w:tbl>
    <w:p w14:paraId="1FEFC906" w14:textId="77777777" w:rsidR="002C1968" w:rsidRPr="002C1968" w:rsidRDefault="002C1968" w:rsidP="002C1968">
      <w:pPr>
        <w:rPr>
          <w:rFonts w:ascii="Arial" w:hAnsi="Arial" w:cs="Arial"/>
          <w:lang w:val="lt-LT"/>
        </w:rPr>
      </w:pPr>
    </w:p>
    <w:p w14:paraId="4CFFA3C0" w14:textId="77777777" w:rsidR="002C1968" w:rsidRPr="002C1968" w:rsidRDefault="002C1968" w:rsidP="002C1968">
      <w:pPr>
        <w:jc w:val="both"/>
        <w:rPr>
          <w:rFonts w:ascii="Arial" w:hAnsi="Arial" w:cs="Arial"/>
          <w:bCs/>
          <w:color w:val="000000"/>
          <w:lang w:val="lt-LT"/>
        </w:rPr>
      </w:pPr>
      <w:r w:rsidRPr="002C1968">
        <w:rPr>
          <w:rFonts w:ascii="Arial" w:hAnsi="Arial" w:cs="Arial"/>
          <w:b/>
          <w:color w:val="000000"/>
          <w:lang w:val="lt-LT"/>
        </w:rPr>
        <w:t>PASTABA</w:t>
      </w:r>
      <w:r w:rsidRPr="002C1968">
        <w:rPr>
          <w:rFonts w:ascii="Arial" w:hAnsi="Arial" w:cs="Arial"/>
          <w:bCs/>
          <w:color w:val="000000"/>
          <w:lang w:val="lt-LT"/>
        </w:rPr>
        <w:t xml:space="preserve">: atsiradus prieštaravimams tarp teksto lietuvių ir anglų kalba, pirmenybė teikiama tekstui lietuvių kalba. </w:t>
      </w:r>
    </w:p>
    <w:p w14:paraId="0639DBEA" w14:textId="77777777" w:rsidR="002C1968" w:rsidRPr="002C1968" w:rsidRDefault="002C1968" w:rsidP="002C1968">
      <w:pPr>
        <w:jc w:val="both"/>
        <w:rPr>
          <w:rFonts w:ascii="Arial" w:hAnsi="Arial" w:cs="Arial"/>
          <w:bCs/>
          <w:color w:val="000000"/>
        </w:rPr>
      </w:pPr>
      <w:r w:rsidRPr="002C1968">
        <w:rPr>
          <w:rFonts w:ascii="Arial" w:hAnsi="Arial" w:cs="Arial"/>
          <w:b/>
          <w:color w:val="000000"/>
        </w:rPr>
        <w:t>NOTE</w:t>
      </w:r>
      <w:r w:rsidRPr="002C1968">
        <w:rPr>
          <w:rFonts w:ascii="Arial" w:hAnsi="Arial" w:cs="Arial"/>
          <w:bCs/>
          <w:color w:val="000000"/>
        </w:rPr>
        <w:t xml:space="preserve">: In case of any discrepancy between the Lithuanian and English texts, the Lithuanian text shall prevail. </w:t>
      </w:r>
    </w:p>
    <w:p w14:paraId="15F061D4" w14:textId="77777777" w:rsidR="002C1968" w:rsidRPr="002C1968" w:rsidRDefault="002C1968" w:rsidP="002C1968">
      <w:pPr>
        <w:ind w:firstLine="567"/>
        <w:jc w:val="both"/>
        <w:rPr>
          <w:rFonts w:ascii="Arial" w:hAnsi="Arial" w:cs="Arial"/>
          <w:bCs/>
          <w:noProof/>
        </w:rPr>
      </w:pPr>
    </w:p>
    <w:sectPr w:rsidR="002C1968" w:rsidRPr="002C1968" w:rsidSect="00EB63D8">
      <w:headerReference w:type="default" r:id="rId11"/>
      <w:pgSz w:w="11906" w:h="16838"/>
      <w:pgMar w:top="1701"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6F166" w14:textId="77777777" w:rsidR="00C75ED8" w:rsidRDefault="00C75ED8" w:rsidP="008D4FCC">
      <w:pPr>
        <w:spacing w:after="0" w:line="240" w:lineRule="auto"/>
      </w:pPr>
      <w:r>
        <w:separator/>
      </w:r>
    </w:p>
  </w:endnote>
  <w:endnote w:type="continuationSeparator" w:id="0">
    <w:p w14:paraId="482EAA50" w14:textId="77777777" w:rsidR="00C75ED8" w:rsidRDefault="00C75ED8" w:rsidP="008D4FCC">
      <w:pPr>
        <w:spacing w:after="0" w:line="240" w:lineRule="auto"/>
      </w:pPr>
      <w:r>
        <w:continuationSeparator/>
      </w:r>
    </w:p>
  </w:endnote>
  <w:endnote w:type="continuationNotice" w:id="1">
    <w:p w14:paraId="19E4FEAB" w14:textId="77777777" w:rsidR="00C75ED8" w:rsidRDefault="00C75E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E5FED" w14:textId="77777777" w:rsidR="00C75ED8" w:rsidRDefault="00C75ED8" w:rsidP="008D4FCC">
      <w:pPr>
        <w:spacing w:after="0" w:line="240" w:lineRule="auto"/>
      </w:pPr>
      <w:r>
        <w:separator/>
      </w:r>
    </w:p>
  </w:footnote>
  <w:footnote w:type="continuationSeparator" w:id="0">
    <w:p w14:paraId="1407BF0D" w14:textId="77777777" w:rsidR="00C75ED8" w:rsidRDefault="00C75ED8" w:rsidP="008D4FCC">
      <w:pPr>
        <w:spacing w:after="0" w:line="240" w:lineRule="auto"/>
      </w:pPr>
      <w:r>
        <w:continuationSeparator/>
      </w:r>
    </w:p>
  </w:footnote>
  <w:footnote w:type="continuationNotice" w:id="1">
    <w:p w14:paraId="0F1FDB55" w14:textId="77777777" w:rsidR="00C75ED8" w:rsidRDefault="00C75ED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61E23" w14:textId="70B6DDDB" w:rsidR="00E9263C" w:rsidRDefault="00E9263C">
    <w:pPr>
      <w:pStyle w:val="Header"/>
    </w:pPr>
    <w:r>
      <w:rPr>
        <w:noProof/>
      </w:rPr>
      <w:drawing>
        <wp:inline distT="0" distB="0" distL="0" distR="0" wp14:anchorId="326A209B" wp14:editId="31213264">
          <wp:extent cx="6120130" cy="102010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
                    <a:extLst>
                      <a:ext uri="{28A0092B-C50C-407E-A947-70E740481C1C}">
                        <a14:useLocalDpi xmlns:a14="http://schemas.microsoft.com/office/drawing/2010/main" val="0"/>
                      </a:ext>
                    </a:extLst>
                  </a:blip>
                  <a:stretch>
                    <a:fillRect/>
                  </a:stretch>
                </pic:blipFill>
                <pic:spPr>
                  <a:xfrm>
                    <a:off x="0" y="0"/>
                    <a:ext cx="6120130" cy="102010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84493"/>
    <w:multiLevelType w:val="hybridMultilevel"/>
    <w:tmpl w:val="1D000E72"/>
    <w:lvl w:ilvl="0" w:tplc="FE047586">
      <w:start w:val="1"/>
      <w:numFmt w:val="decimal"/>
      <w:lvlText w:val="%1."/>
      <w:lvlJc w:val="left"/>
      <w:pPr>
        <w:ind w:left="1090" w:hanging="73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7B27189"/>
    <w:multiLevelType w:val="hybridMultilevel"/>
    <w:tmpl w:val="DE1C5474"/>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21185AC4"/>
    <w:multiLevelType w:val="hybridMultilevel"/>
    <w:tmpl w:val="32544132"/>
    <w:lvl w:ilvl="0" w:tplc="9DF2B5C4">
      <w:start w:val="1"/>
      <w:numFmt w:val="upperRoman"/>
      <w:lvlText w:val="%1."/>
      <w:lvlJc w:val="left"/>
      <w:pPr>
        <w:ind w:left="1080" w:hanging="72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3180574"/>
    <w:multiLevelType w:val="hybridMultilevel"/>
    <w:tmpl w:val="6F1AC566"/>
    <w:lvl w:ilvl="0" w:tplc="570A80F0">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A2C11F2"/>
    <w:multiLevelType w:val="hybridMultilevel"/>
    <w:tmpl w:val="26A87D92"/>
    <w:lvl w:ilvl="0" w:tplc="BB54F68A">
      <w:start w:val="1"/>
      <w:numFmt w:val="lowerRoman"/>
      <w:lvlText w:val="(%1)"/>
      <w:lvlJc w:val="left"/>
      <w:pPr>
        <w:ind w:left="1603" w:hanging="720"/>
      </w:pPr>
      <w:rPr>
        <w:rFonts w:ascii="Arial" w:eastAsiaTheme="minorEastAsia" w:hAnsi="Arial" w:cs="Arial" w:hint="default"/>
        <w:i/>
        <w:iCs/>
        <w:color w:val="000000" w:themeColor="text1"/>
      </w:rPr>
    </w:lvl>
    <w:lvl w:ilvl="1" w:tplc="04270019" w:tentative="1">
      <w:start w:val="1"/>
      <w:numFmt w:val="lowerLetter"/>
      <w:lvlText w:val="%2."/>
      <w:lvlJc w:val="left"/>
      <w:pPr>
        <w:ind w:left="1963" w:hanging="360"/>
      </w:pPr>
    </w:lvl>
    <w:lvl w:ilvl="2" w:tplc="0427001B" w:tentative="1">
      <w:start w:val="1"/>
      <w:numFmt w:val="lowerRoman"/>
      <w:lvlText w:val="%3."/>
      <w:lvlJc w:val="right"/>
      <w:pPr>
        <w:ind w:left="2683" w:hanging="180"/>
      </w:pPr>
    </w:lvl>
    <w:lvl w:ilvl="3" w:tplc="0427000F" w:tentative="1">
      <w:start w:val="1"/>
      <w:numFmt w:val="decimal"/>
      <w:lvlText w:val="%4."/>
      <w:lvlJc w:val="left"/>
      <w:pPr>
        <w:ind w:left="3403" w:hanging="360"/>
      </w:pPr>
    </w:lvl>
    <w:lvl w:ilvl="4" w:tplc="04270019" w:tentative="1">
      <w:start w:val="1"/>
      <w:numFmt w:val="lowerLetter"/>
      <w:lvlText w:val="%5."/>
      <w:lvlJc w:val="left"/>
      <w:pPr>
        <w:ind w:left="4123" w:hanging="360"/>
      </w:pPr>
    </w:lvl>
    <w:lvl w:ilvl="5" w:tplc="0427001B" w:tentative="1">
      <w:start w:val="1"/>
      <w:numFmt w:val="lowerRoman"/>
      <w:lvlText w:val="%6."/>
      <w:lvlJc w:val="right"/>
      <w:pPr>
        <w:ind w:left="4843" w:hanging="180"/>
      </w:pPr>
    </w:lvl>
    <w:lvl w:ilvl="6" w:tplc="0427000F" w:tentative="1">
      <w:start w:val="1"/>
      <w:numFmt w:val="decimal"/>
      <w:lvlText w:val="%7."/>
      <w:lvlJc w:val="left"/>
      <w:pPr>
        <w:ind w:left="5563" w:hanging="360"/>
      </w:pPr>
    </w:lvl>
    <w:lvl w:ilvl="7" w:tplc="04270019" w:tentative="1">
      <w:start w:val="1"/>
      <w:numFmt w:val="lowerLetter"/>
      <w:lvlText w:val="%8."/>
      <w:lvlJc w:val="left"/>
      <w:pPr>
        <w:ind w:left="6283" w:hanging="360"/>
      </w:pPr>
    </w:lvl>
    <w:lvl w:ilvl="8" w:tplc="0427001B" w:tentative="1">
      <w:start w:val="1"/>
      <w:numFmt w:val="lowerRoman"/>
      <w:lvlText w:val="%9."/>
      <w:lvlJc w:val="right"/>
      <w:pPr>
        <w:ind w:left="7003" w:hanging="180"/>
      </w:pPr>
    </w:lvl>
  </w:abstractNum>
  <w:abstractNum w:abstractNumId="5" w15:restartNumberingAfterBreak="0">
    <w:nsid w:val="3A0047D9"/>
    <w:multiLevelType w:val="hybridMultilevel"/>
    <w:tmpl w:val="C35658DA"/>
    <w:lvl w:ilvl="0" w:tplc="3274F294">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6" w15:restartNumberingAfterBreak="0">
    <w:nsid w:val="3A976D1A"/>
    <w:multiLevelType w:val="hybridMultilevel"/>
    <w:tmpl w:val="32544132"/>
    <w:lvl w:ilvl="0" w:tplc="9DF2B5C4">
      <w:start w:val="1"/>
      <w:numFmt w:val="upperRoman"/>
      <w:lvlText w:val="%1."/>
      <w:lvlJc w:val="left"/>
      <w:pPr>
        <w:ind w:left="1080" w:hanging="72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1910752"/>
    <w:multiLevelType w:val="multilevel"/>
    <w:tmpl w:val="C9704BB2"/>
    <w:lvl w:ilvl="0">
      <w:start w:val="1"/>
      <w:numFmt w:val="decimal"/>
      <w:lvlText w:val="%1."/>
      <w:lvlJc w:val="left"/>
      <w:pPr>
        <w:ind w:left="928" w:hanging="360"/>
      </w:p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8" w15:restartNumberingAfterBreak="0">
    <w:nsid w:val="4523155C"/>
    <w:multiLevelType w:val="hybridMultilevel"/>
    <w:tmpl w:val="B4C8E526"/>
    <w:lvl w:ilvl="0" w:tplc="928230C2">
      <w:start w:val="1"/>
      <w:numFmt w:val="decimal"/>
      <w:lvlText w:val="%1."/>
      <w:lvlJc w:val="left"/>
      <w:pPr>
        <w:ind w:left="1440" w:hanging="360"/>
      </w:pPr>
      <w:rPr>
        <w:rFonts w:hint="default"/>
        <w:b w:val="0"/>
        <w:bCs/>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9" w15:restartNumberingAfterBreak="0">
    <w:nsid w:val="48290495"/>
    <w:multiLevelType w:val="hybridMultilevel"/>
    <w:tmpl w:val="308E0F70"/>
    <w:lvl w:ilvl="0" w:tplc="05F60E1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FFB0680"/>
    <w:multiLevelType w:val="multilevel"/>
    <w:tmpl w:val="3E885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B354F64"/>
    <w:multiLevelType w:val="hybridMultilevel"/>
    <w:tmpl w:val="4EBC123E"/>
    <w:lvl w:ilvl="0" w:tplc="85AA55A6">
      <w:start w:val="1"/>
      <w:numFmt w:val="decimal"/>
      <w:lvlText w:val="%1."/>
      <w:lvlJc w:val="left"/>
      <w:pPr>
        <w:ind w:left="1211" w:hanging="360"/>
      </w:pPr>
    </w:lvl>
    <w:lvl w:ilvl="1" w:tplc="04270019">
      <w:start w:val="1"/>
      <w:numFmt w:val="lowerLetter"/>
      <w:lvlText w:val="%2."/>
      <w:lvlJc w:val="left"/>
      <w:pPr>
        <w:ind w:left="1931" w:hanging="360"/>
      </w:pPr>
    </w:lvl>
    <w:lvl w:ilvl="2" w:tplc="0427001B">
      <w:start w:val="1"/>
      <w:numFmt w:val="lowerRoman"/>
      <w:lvlText w:val="%3."/>
      <w:lvlJc w:val="right"/>
      <w:pPr>
        <w:ind w:left="2651" w:hanging="180"/>
      </w:pPr>
    </w:lvl>
    <w:lvl w:ilvl="3" w:tplc="0427000F">
      <w:start w:val="1"/>
      <w:numFmt w:val="decimal"/>
      <w:lvlText w:val="%4."/>
      <w:lvlJc w:val="left"/>
      <w:pPr>
        <w:ind w:left="3371" w:hanging="360"/>
      </w:pPr>
    </w:lvl>
    <w:lvl w:ilvl="4" w:tplc="04270019">
      <w:start w:val="1"/>
      <w:numFmt w:val="lowerLetter"/>
      <w:lvlText w:val="%5."/>
      <w:lvlJc w:val="left"/>
      <w:pPr>
        <w:ind w:left="4091" w:hanging="360"/>
      </w:pPr>
    </w:lvl>
    <w:lvl w:ilvl="5" w:tplc="0427001B">
      <w:start w:val="1"/>
      <w:numFmt w:val="lowerRoman"/>
      <w:lvlText w:val="%6."/>
      <w:lvlJc w:val="right"/>
      <w:pPr>
        <w:ind w:left="4811" w:hanging="180"/>
      </w:pPr>
    </w:lvl>
    <w:lvl w:ilvl="6" w:tplc="0427000F">
      <w:start w:val="1"/>
      <w:numFmt w:val="decimal"/>
      <w:lvlText w:val="%7."/>
      <w:lvlJc w:val="left"/>
      <w:pPr>
        <w:ind w:left="5531" w:hanging="360"/>
      </w:pPr>
    </w:lvl>
    <w:lvl w:ilvl="7" w:tplc="04270019">
      <w:start w:val="1"/>
      <w:numFmt w:val="lowerLetter"/>
      <w:lvlText w:val="%8."/>
      <w:lvlJc w:val="left"/>
      <w:pPr>
        <w:ind w:left="6251" w:hanging="360"/>
      </w:pPr>
    </w:lvl>
    <w:lvl w:ilvl="8" w:tplc="0427001B">
      <w:start w:val="1"/>
      <w:numFmt w:val="lowerRoman"/>
      <w:lvlText w:val="%9."/>
      <w:lvlJc w:val="right"/>
      <w:pPr>
        <w:ind w:left="6971" w:hanging="180"/>
      </w:pPr>
    </w:lvl>
  </w:abstractNum>
  <w:abstractNum w:abstractNumId="12" w15:restartNumberingAfterBreak="0">
    <w:nsid w:val="5C7E125D"/>
    <w:multiLevelType w:val="hybridMultilevel"/>
    <w:tmpl w:val="B1907530"/>
    <w:lvl w:ilvl="0" w:tplc="AF90C922">
      <w:start w:val="2020"/>
      <w:numFmt w:val="bullet"/>
      <w:lvlText w:val=""/>
      <w:lvlJc w:val="left"/>
      <w:pPr>
        <w:ind w:left="720" w:hanging="360"/>
      </w:pPr>
      <w:rPr>
        <w:rFonts w:ascii="Symbol" w:eastAsiaTheme="minorHAnsi"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6E2F45F0"/>
    <w:multiLevelType w:val="hybridMultilevel"/>
    <w:tmpl w:val="9D2872E4"/>
    <w:lvl w:ilvl="0" w:tplc="E88E51A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50B06AE"/>
    <w:multiLevelType w:val="hybridMultilevel"/>
    <w:tmpl w:val="F4726932"/>
    <w:lvl w:ilvl="0" w:tplc="3D3A689E">
      <w:start w:val="1"/>
      <w:numFmt w:val="bullet"/>
      <w:lvlText w:val=""/>
      <w:lvlJc w:val="left"/>
      <w:pPr>
        <w:tabs>
          <w:tab w:val="num" w:pos="720"/>
        </w:tabs>
        <w:ind w:left="720" w:hanging="360"/>
      </w:pPr>
      <w:rPr>
        <w:rFonts w:ascii="Symbol" w:hAnsi="Symbol" w:hint="default"/>
        <w:color w:val="FF0000"/>
        <w:sz w:val="20"/>
      </w:rPr>
    </w:lvl>
    <w:lvl w:ilvl="1" w:tplc="DF3C936A">
      <w:start w:val="1"/>
      <w:numFmt w:val="decimal"/>
      <w:lvlText w:val="%2."/>
      <w:lvlJc w:val="left"/>
      <w:pPr>
        <w:ind w:left="1440" w:hanging="360"/>
      </w:pPr>
      <w:rPr>
        <w:rFonts w:hint="default"/>
        <w:i w:val="0"/>
        <w:iCs w:val="0"/>
        <w:color w:val="auto"/>
      </w:rPr>
    </w:lvl>
    <w:lvl w:ilvl="2" w:tplc="E85E08DC" w:tentative="1">
      <w:start w:val="1"/>
      <w:numFmt w:val="bullet"/>
      <w:lvlText w:val=""/>
      <w:lvlJc w:val="left"/>
      <w:pPr>
        <w:tabs>
          <w:tab w:val="num" w:pos="2160"/>
        </w:tabs>
        <w:ind w:left="2160" w:hanging="360"/>
      </w:pPr>
      <w:rPr>
        <w:rFonts w:ascii="Symbol" w:hAnsi="Symbol" w:hint="default"/>
        <w:sz w:val="20"/>
      </w:rPr>
    </w:lvl>
    <w:lvl w:ilvl="3" w:tplc="1F1CEAC8" w:tentative="1">
      <w:start w:val="1"/>
      <w:numFmt w:val="bullet"/>
      <w:lvlText w:val=""/>
      <w:lvlJc w:val="left"/>
      <w:pPr>
        <w:tabs>
          <w:tab w:val="num" w:pos="2880"/>
        </w:tabs>
        <w:ind w:left="2880" w:hanging="360"/>
      </w:pPr>
      <w:rPr>
        <w:rFonts w:ascii="Symbol" w:hAnsi="Symbol" w:hint="default"/>
        <w:sz w:val="20"/>
      </w:rPr>
    </w:lvl>
    <w:lvl w:ilvl="4" w:tplc="9872C012" w:tentative="1">
      <w:start w:val="1"/>
      <w:numFmt w:val="bullet"/>
      <w:lvlText w:val=""/>
      <w:lvlJc w:val="left"/>
      <w:pPr>
        <w:tabs>
          <w:tab w:val="num" w:pos="3600"/>
        </w:tabs>
        <w:ind w:left="3600" w:hanging="360"/>
      </w:pPr>
      <w:rPr>
        <w:rFonts w:ascii="Symbol" w:hAnsi="Symbol" w:hint="default"/>
        <w:sz w:val="20"/>
      </w:rPr>
    </w:lvl>
    <w:lvl w:ilvl="5" w:tplc="FC560856" w:tentative="1">
      <w:start w:val="1"/>
      <w:numFmt w:val="bullet"/>
      <w:lvlText w:val=""/>
      <w:lvlJc w:val="left"/>
      <w:pPr>
        <w:tabs>
          <w:tab w:val="num" w:pos="4320"/>
        </w:tabs>
        <w:ind w:left="4320" w:hanging="360"/>
      </w:pPr>
      <w:rPr>
        <w:rFonts w:ascii="Symbol" w:hAnsi="Symbol" w:hint="default"/>
        <w:sz w:val="20"/>
      </w:rPr>
    </w:lvl>
    <w:lvl w:ilvl="6" w:tplc="0EA07E0C" w:tentative="1">
      <w:start w:val="1"/>
      <w:numFmt w:val="bullet"/>
      <w:lvlText w:val=""/>
      <w:lvlJc w:val="left"/>
      <w:pPr>
        <w:tabs>
          <w:tab w:val="num" w:pos="5040"/>
        </w:tabs>
        <w:ind w:left="5040" w:hanging="360"/>
      </w:pPr>
      <w:rPr>
        <w:rFonts w:ascii="Symbol" w:hAnsi="Symbol" w:hint="default"/>
        <w:sz w:val="20"/>
      </w:rPr>
    </w:lvl>
    <w:lvl w:ilvl="7" w:tplc="21D690D8" w:tentative="1">
      <w:start w:val="1"/>
      <w:numFmt w:val="bullet"/>
      <w:lvlText w:val=""/>
      <w:lvlJc w:val="left"/>
      <w:pPr>
        <w:tabs>
          <w:tab w:val="num" w:pos="5760"/>
        </w:tabs>
        <w:ind w:left="5760" w:hanging="360"/>
      </w:pPr>
      <w:rPr>
        <w:rFonts w:ascii="Symbol" w:hAnsi="Symbol" w:hint="default"/>
        <w:sz w:val="20"/>
      </w:rPr>
    </w:lvl>
    <w:lvl w:ilvl="8" w:tplc="45C0255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1"/>
  </w:num>
  <w:num w:numId="3">
    <w:abstractNumId w:val="13"/>
  </w:num>
  <w:num w:numId="4">
    <w:abstractNumId w:val="12"/>
  </w:num>
  <w:num w:numId="5">
    <w:abstractNumId w:val="3"/>
  </w:num>
  <w:num w:numId="6">
    <w:abstractNumId w:val="2"/>
  </w:num>
  <w:num w:numId="7">
    <w:abstractNumId w:val="14"/>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0"/>
  </w:num>
  <w:num w:numId="11">
    <w:abstractNumId w:val="6"/>
  </w:num>
  <w:num w:numId="12">
    <w:abstractNumId w:val="8"/>
  </w:num>
  <w:num w:numId="13">
    <w:abstractNumId w:val="5"/>
  </w:num>
  <w:num w:numId="14">
    <w:abstractNumId w:val="4"/>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proofState w:spelling="clean" w:grammar="clean"/>
  <w:defaultTabStop w:val="720"/>
  <w:hyphenationZone w:val="396"/>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7068AC"/>
    <w:rsid w:val="00011AAA"/>
    <w:rsid w:val="00013D05"/>
    <w:rsid w:val="0002173A"/>
    <w:rsid w:val="00023B34"/>
    <w:rsid w:val="00025B29"/>
    <w:rsid w:val="0002782B"/>
    <w:rsid w:val="00027BB3"/>
    <w:rsid w:val="000353F2"/>
    <w:rsid w:val="000605F1"/>
    <w:rsid w:val="00067971"/>
    <w:rsid w:val="00076B74"/>
    <w:rsid w:val="0008518B"/>
    <w:rsid w:val="00091DAD"/>
    <w:rsid w:val="00093632"/>
    <w:rsid w:val="00095171"/>
    <w:rsid w:val="000A0435"/>
    <w:rsid w:val="000B2423"/>
    <w:rsid w:val="000B3424"/>
    <w:rsid w:val="000B4232"/>
    <w:rsid w:val="000C6B71"/>
    <w:rsid w:val="000C7472"/>
    <w:rsid w:val="00100238"/>
    <w:rsid w:val="00120CFE"/>
    <w:rsid w:val="00134D57"/>
    <w:rsid w:val="00155FC9"/>
    <w:rsid w:val="00160B5A"/>
    <w:rsid w:val="00160C16"/>
    <w:rsid w:val="00163AD1"/>
    <w:rsid w:val="00163ADE"/>
    <w:rsid w:val="001C502B"/>
    <w:rsid w:val="001D0C63"/>
    <w:rsid w:val="001D2B12"/>
    <w:rsid w:val="001D2D77"/>
    <w:rsid w:val="001D4FA8"/>
    <w:rsid w:val="001F565F"/>
    <w:rsid w:val="002103AE"/>
    <w:rsid w:val="00211F0B"/>
    <w:rsid w:val="002140FE"/>
    <w:rsid w:val="0021610C"/>
    <w:rsid w:val="00217712"/>
    <w:rsid w:val="00222967"/>
    <w:rsid w:val="00244D37"/>
    <w:rsid w:val="00254423"/>
    <w:rsid w:val="002750AA"/>
    <w:rsid w:val="00280B9C"/>
    <w:rsid w:val="00284DCB"/>
    <w:rsid w:val="0029116C"/>
    <w:rsid w:val="00294E6B"/>
    <w:rsid w:val="002A0332"/>
    <w:rsid w:val="002A4EDD"/>
    <w:rsid w:val="002A5661"/>
    <w:rsid w:val="002C1968"/>
    <w:rsid w:val="002D3C40"/>
    <w:rsid w:val="002E5768"/>
    <w:rsid w:val="002E747D"/>
    <w:rsid w:val="002F574C"/>
    <w:rsid w:val="002F73C0"/>
    <w:rsid w:val="00301215"/>
    <w:rsid w:val="00301FBB"/>
    <w:rsid w:val="00304158"/>
    <w:rsid w:val="003166CC"/>
    <w:rsid w:val="003348C3"/>
    <w:rsid w:val="00343362"/>
    <w:rsid w:val="00353B75"/>
    <w:rsid w:val="003720B5"/>
    <w:rsid w:val="00385D2E"/>
    <w:rsid w:val="003877C0"/>
    <w:rsid w:val="00390039"/>
    <w:rsid w:val="00391C20"/>
    <w:rsid w:val="003A6E24"/>
    <w:rsid w:val="003B00CD"/>
    <w:rsid w:val="003B1F96"/>
    <w:rsid w:val="003B72D6"/>
    <w:rsid w:val="003C4C06"/>
    <w:rsid w:val="003C624E"/>
    <w:rsid w:val="003D00E4"/>
    <w:rsid w:val="003D2684"/>
    <w:rsid w:val="003D2950"/>
    <w:rsid w:val="003E1708"/>
    <w:rsid w:val="003E3958"/>
    <w:rsid w:val="003F2378"/>
    <w:rsid w:val="003F27BC"/>
    <w:rsid w:val="00401C65"/>
    <w:rsid w:val="00402E35"/>
    <w:rsid w:val="0040402D"/>
    <w:rsid w:val="0040592D"/>
    <w:rsid w:val="004120A1"/>
    <w:rsid w:val="004140C2"/>
    <w:rsid w:val="00415605"/>
    <w:rsid w:val="004214E1"/>
    <w:rsid w:val="0043086C"/>
    <w:rsid w:val="00431C31"/>
    <w:rsid w:val="00433A79"/>
    <w:rsid w:val="00434606"/>
    <w:rsid w:val="00445BC8"/>
    <w:rsid w:val="00457C40"/>
    <w:rsid w:val="00471F26"/>
    <w:rsid w:val="00496EF5"/>
    <w:rsid w:val="004A40BA"/>
    <w:rsid w:val="004A6B01"/>
    <w:rsid w:val="004B55E4"/>
    <w:rsid w:val="004C2982"/>
    <w:rsid w:val="004E104A"/>
    <w:rsid w:val="004E1A30"/>
    <w:rsid w:val="004E707C"/>
    <w:rsid w:val="005032D0"/>
    <w:rsid w:val="00511FD0"/>
    <w:rsid w:val="0052213D"/>
    <w:rsid w:val="00523CDA"/>
    <w:rsid w:val="005312B7"/>
    <w:rsid w:val="00546E18"/>
    <w:rsid w:val="0054771A"/>
    <w:rsid w:val="005545B0"/>
    <w:rsid w:val="00562CBE"/>
    <w:rsid w:val="00565F06"/>
    <w:rsid w:val="005663CF"/>
    <w:rsid w:val="005935B8"/>
    <w:rsid w:val="005A2FCE"/>
    <w:rsid w:val="005C15F3"/>
    <w:rsid w:val="005C3D4B"/>
    <w:rsid w:val="005D0E3D"/>
    <w:rsid w:val="005E7A9D"/>
    <w:rsid w:val="005F3050"/>
    <w:rsid w:val="00611136"/>
    <w:rsid w:val="00625F99"/>
    <w:rsid w:val="00631646"/>
    <w:rsid w:val="006329AE"/>
    <w:rsid w:val="00633634"/>
    <w:rsid w:val="00634BB8"/>
    <w:rsid w:val="006355BA"/>
    <w:rsid w:val="006375CF"/>
    <w:rsid w:val="0065258A"/>
    <w:rsid w:val="00666FB3"/>
    <w:rsid w:val="00674A7E"/>
    <w:rsid w:val="006826FF"/>
    <w:rsid w:val="00684E14"/>
    <w:rsid w:val="0069112F"/>
    <w:rsid w:val="00695FEC"/>
    <w:rsid w:val="006A3A8A"/>
    <w:rsid w:val="006C46DA"/>
    <w:rsid w:val="006C624B"/>
    <w:rsid w:val="006E0E0E"/>
    <w:rsid w:val="0070245F"/>
    <w:rsid w:val="00705B38"/>
    <w:rsid w:val="007068AC"/>
    <w:rsid w:val="00710769"/>
    <w:rsid w:val="0071161D"/>
    <w:rsid w:val="00711893"/>
    <w:rsid w:val="00716616"/>
    <w:rsid w:val="00721E6E"/>
    <w:rsid w:val="007234C6"/>
    <w:rsid w:val="00752A77"/>
    <w:rsid w:val="00753467"/>
    <w:rsid w:val="00755859"/>
    <w:rsid w:val="00770C0A"/>
    <w:rsid w:val="00781E8E"/>
    <w:rsid w:val="00784B1B"/>
    <w:rsid w:val="007939A2"/>
    <w:rsid w:val="00795C14"/>
    <w:rsid w:val="007A2A66"/>
    <w:rsid w:val="007B20A3"/>
    <w:rsid w:val="007B52A2"/>
    <w:rsid w:val="007C2985"/>
    <w:rsid w:val="007C30B9"/>
    <w:rsid w:val="007C5E9B"/>
    <w:rsid w:val="007E0870"/>
    <w:rsid w:val="007E3563"/>
    <w:rsid w:val="007F1037"/>
    <w:rsid w:val="0080271D"/>
    <w:rsid w:val="00803526"/>
    <w:rsid w:val="00812CF1"/>
    <w:rsid w:val="00816FA6"/>
    <w:rsid w:val="00820D8C"/>
    <w:rsid w:val="00824115"/>
    <w:rsid w:val="00824D55"/>
    <w:rsid w:val="00835B3F"/>
    <w:rsid w:val="008478D8"/>
    <w:rsid w:val="00851560"/>
    <w:rsid w:val="0085199E"/>
    <w:rsid w:val="008556B6"/>
    <w:rsid w:val="008568A9"/>
    <w:rsid w:val="008574B9"/>
    <w:rsid w:val="00860BF4"/>
    <w:rsid w:val="00863B40"/>
    <w:rsid w:val="00865934"/>
    <w:rsid w:val="00866899"/>
    <w:rsid w:val="0088642A"/>
    <w:rsid w:val="00886A1A"/>
    <w:rsid w:val="008912C6"/>
    <w:rsid w:val="0089655C"/>
    <w:rsid w:val="008A6932"/>
    <w:rsid w:val="008B5CE7"/>
    <w:rsid w:val="008C447E"/>
    <w:rsid w:val="008D4ED0"/>
    <w:rsid w:val="008D4FCC"/>
    <w:rsid w:val="008E0368"/>
    <w:rsid w:val="008E11BA"/>
    <w:rsid w:val="008F686D"/>
    <w:rsid w:val="0090703C"/>
    <w:rsid w:val="00907EB1"/>
    <w:rsid w:val="00910376"/>
    <w:rsid w:val="00910852"/>
    <w:rsid w:val="009110AC"/>
    <w:rsid w:val="00921636"/>
    <w:rsid w:val="00930B7D"/>
    <w:rsid w:val="009454CA"/>
    <w:rsid w:val="00945885"/>
    <w:rsid w:val="00946686"/>
    <w:rsid w:val="0096129E"/>
    <w:rsid w:val="00962E00"/>
    <w:rsid w:val="0096460F"/>
    <w:rsid w:val="00972C03"/>
    <w:rsid w:val="009761C4"/>
    <w:rsid w:val="00997EE3"/>
    <w:rsid w:val="009B310B"/>
    <w:rsid w:val="009C1EC9"/>
    <w:rsid w:val="009C34B1"/>
    <w:rsid w:val="009C3629"/>
    <w:rsid w:val="009D1706"/>
    <w:rsid w:val="009D1839"/>
    <w:rsid w:val="009D7277"/>
    <w:rsid w:val="009D7EDA"/>
    <w:rsid w:val="009E2203"/>
    <w:rsid w:val="009E7B5D"/>
    <w:rsid w:val="009F03AA"/>
    <w:rsid w:val="009F5A89"/>
    <w:rsid w:val="009F6A65"/>
    <w:rsid w:val="009F6A78"/>
    <w:rsid w:val="009F6DA2"/>
    <w:rsid w:val="00A05168"/>
    <w:rsid w:val="00A2352C"/>
    <w:rsid w:val="00A24D30"/>
    <w:rsid w:val="00A25521"/>
    <w:rsid w:val="00A31FCB"/>
    <w:rsid w:val="00A4407F"/>
    <w:rsid w:val="00A51EE1"/>
    <w:rsid w:val="00A60578"/>
    <w:rsid w:val="00A717F3"/>
    <w:rsid w:val="00A76C00"/>
    <w:rsid w:val="00A86052"/>
    <w:rsid w:val="00A877B4"/>
    <w:rsid w:val="00A913C6"/>
    <w:rsid w:val="00A91B4C"/>
    <w:rsid w:val="00A92B2E"/>
    <w:rsid w:val="00AA2D5D"/>
    <w:rsid w:val="00AA4168"/>
    <w:rsid w:val="00AA4C29"/>
    <w:rsid w:val="00AA6ACC"/>
    <w:rsid w:val="00AB0932"/>
    <w:rsid w:val="00AB6545"/>
    <w:rsid w:val="00AC0EA7"/>
    <w:rsid w:val="00AC53EE"/>
    <w:rsid w:val="00AC5803"/>
    <w:rsid w:val="00AC6A1D"/>
    <w:rsid w:val="00AE0682"/>
    <w:rsid w:val="00AF21DB"/>
    <w:rsid w:val="00AF7614"/>
    <w:rsid w:val="00B02D16"/>
    <w:rsid w:val="00B07C3A"/>
    <w:rsid w:val="00B22A19"/>
    <w:rsid w:val="00B23123"/>
    <w:rsid w:val="00B2520C"/>
    <w:rsid w:val="00B31CEC"/>
    <w:rsid w:val="00B341E0"/>
    <w:rsid w:val="00B45E71"/>
    <w:rsid w:val="00B66CED"/>
    <w:rsid w:val="00B7080C"/>
    <w:rsid w:val="00B742FC"/>
    <w:rsid w:val="00B803F2"/>
    <w:rsid w:val="00B90860"/>
    <w:rsid w:val="00B96FBF"/>
    <w:rsid w:val="00BA0802"/>
    <w:rsid w:val="00BD4B00"/>
    <w:rsid w:val="00BD673D"/>
    <w:rsid w:val="00BF30AB"/>
    <w:rsid w:val="00BF6C1D"/>
    <w:rsid w:val="00C04C4B"/>
    <w:rsid w:val="00C06207"/>
    <w:rsid w:val="00C11DA7"/>
    <w:rsid w:val="00C140CC"/>
    <w:rsid w:val="00C26450"/>
    <w:rsid w:val="00C31D57"/>
    <w:rsid w:val="00C36771"/>
    <w:rsid w:val="00C5145F"/>
    <w:rsid w:val="00C518FE"/>
    <w:rsid w:val="00C554E9"/>
    <w:rsid w:val="00C64378"/>
    <w:rsid w:val="00C72C24"/>
    <w:rsid w:val="00C73852"/>
    <w:rsid w:val="00C75ED8"/>
    <w:rsid w:val="00C76E39"/>
    <w:rsid w:val="00C86EBE"/>
    <w:rsid w:val="00C87A5C"/>
    <w:rsid w:val="00C9503A"/>
    <w:rsid w:val="00CB0BFD"/>
    <w:rsid w:val="00CB3770"/>
    <w:rsid w:val="00CB6F60"/>
    <w:rsid w:val="00CC53BD"/>
    <w:rsid w:val="00CC7597"/>
    <w:rsid w:val="00CC7897"/>
    <w:rsid w:val="00CD66D5"/>
    <w:rsid w:val="00D15973"/>
    <w:rsid w:val="00D1751D"/>
    <w:rsid w:val="00D23753"/>
    <w:rsid w:val="00D24615"/>
    <w:rsid w:val="00D3354F"/>
    <w:rsid w:val="00D346B2"/>
    <w:rsid w:val="00D3737C"/>
    <w:rsid w:val="00D37EC2"/>
    <w:rsid w:val="00D40F3C"/>
    <w:rsid w:val="00D42BA0"/>
    <w:rsid w:val="00D46CF9"/>
    <w:rsid w:val="00D479D1"/>
    <w:rsid w:val="00D53FCE"/>
    <w:rsid w:val="00D576A7"/>
    <w:rsid w:val="00D72317"/>
    <w:rsid w:val="00D75097"/>
    <w:rsid w:val="00D757E1"/>
    <w:rsid w:val="00D81270"/>
    <w:rsid w:val="00D83685"/>
    <w:rsid w:val="00D85F8D"/>
    <w:rsid w:val="00D904FD"/>
    <w:rsid w:val="00D93D07"/>
    <w:rsid w:val="00D93FD4"/>
    <w:rsid w:val="00DC2678"/>
    <w:rsid w:val="00DC37E8"/>
    <w:rsid w:val="00DD2156"/>
    <w:rsid w:val="00DD2AB7"/>
    <w:rsid w:val="00DD3CB5"/>
    <w:rsid w:val="00DD4594"/>
    <w:rsid w:val="00DE2907"/>
    <w:rsid w:val="00DF0A68"/>
    <w:rsid w:val="00DF2823"/>
    <w:rsid w:val="00DF4B3B"/>
    <w:rsid w:val="00DF6A0E"/>
    <w:rsid w:val="00E236E7"/>
    <w:rsid w:val="00E3131F"/>
    <w:rsid w:val="00E37446"/>
    <w:rsid w:val="00E46882"/>
    <w:rsid w:val="00E5152C"/>
    <w:rsid w:val="00E636B2"/>
    <w:rsid w:val="00E639D8"/>
    <w:rsid w:val="00E80C53"/>
    <w:rsid w:val="00E86C30"/>
    <w:rsid w:val="00E9263C"/>
    <w:rsid w:val="00E97864"/>
    <w:rsid w:val="00EA7646"/>
    <w:rsid w:val="00EB0B47"/>
    <w:rsid w:val="00EB63D8"/>
    <w:rsid w:val="00EB6699"/>
    <w:rsid w:val="00EC1E5E"/>
    <w:rsid w:val="00EC402A"/>
    <w:rsid w:val="00ED1952"/>
    <w:rsid w:val="00ED4F78"/>
    <w:rsid w:val="00EE2152"/>
    <w:rsid w:val="00EF5A96"/>
    <w:rsid w:val="00F004E5"/>
    <w:rsid w:val="00F0646B"/>
    <w:rsid w:val="00F127A8"/>
    <w:rsid w:val="00F165C9"/>
    <w:rsid w:val="00F25E7D"/>
    <w:rsid w:val="00F45D74"/>
    <w:rsid w:val="00F67D8A"/>
    <w:rsid w:val="00F917DF"/>
    <w:rsid w:val="00FA1982"/>
    <w:rsid w:val="00FA1E91"/>
    <w:rsid w:val="00FA3AC4"/>
    <w:rsid w:val="00FA65CB"/>
    <w:rsid w:val="00FB2555"/>
    <w:rsid w:val="00FB288B"/>
    <w:rsid w:val="00FC3064"/>
    <w:rsid w:val="00FC5BC4"/>
    <w:rsid w:val="00FC602E"/>
    <w:rsid w:val="00FD376C"/>
    <w:rsid w:val="00FD531F"/>
    <w:rsid w:val="00FD7314"/>
    <w:rsid w:val="00FE3C64"/>
    <w:rsid w:val="00FF3BDC"/>
    <w:rsid w:val="03D1526B"/>
    <w:rsid w:val="04DFB705"/>
    <w:rsid w:val="07355E1D"/>
    <w:rsid w:val="0B96A318"/>
    <w:rsid w:val="0C2EEA31"/>
    <w:rsid w:val="0F490887"/>
    <w:rsid w:val="11DBCBB3"/>
    <w:rsid w:val="12348349"/>
    <w:rsid w:val="147ED8E4"/>
    <w:rsid w:val="1613F07A"/>
    <w:rsid w:val="16E7A1A5"/>
    <w:rsid w:val="18DCC4DB"/>
    <w:rsid w:val="1E5C8B49"/>
    <w:rsid w:val="2061C1D3"/>
    <w:rsid w:val="225B86DB"/>
    <w:rsid w:val="23B06862"/>
    <w:rsid w:val="25645F2C"/>
    <w:rsid w:val="276E434E"/>
    <w:rsid w:val="2D8C866F"/>
    <w:rsid w:val="2F9A64B0"/>
    <w:rsid w:val="323C64BF"/>
    <w:rsid w:val="3332BA73"/>
    <w:rsid w:val="37261597"/>
    <w:rsid w:val="380A5FA2"/>
    <w:rsid w:val="3832E6CC"/>
    <w:rsid w:val="3A7393DE"/>
    <w:rsid w:val="3B34CA46"/>
    <w:rsid w:val="3D9844A6"/>
    <w:rsid w:val="3E571600"/>
    <w:rsid w:val="3E5A5C32"/>
    <w:rsid w:val="40568B89"/>
    <w:rsid w:val="41AFB9BC"/>
    <w:rsid w:val="42FB5698"/>
    <w:rsid w:val="4495AB7C"/>
    <w:rsid w:val="4E11AC65"/>
    <w:rsid w:val="4F1809F3"/>
    <w:rsid w:val="53181D56"/>
    <w:rsid w:val="549CE718"/>
    <w:rsid w:val="5BD58BCF"/>
    <w:rsid w:val="641E28FF"/>
    <w:rsid w:val="643EFD3B"/>
    <w:rsid w:val="6761A7EA"/>
    <w:rsid w:val="676B6B19"/>
    <w:rsid w:val="69E70B77"/>
    <w:rsid w:val="6AD34035"/>
    <w:rsid w:val="6BF110C4"/>
    <w:rsid w:val="6E26F8E2"/>
    <w:rsid w:val="6EF1E030"/>
    <w:rsid w:val="7117D9DB"/>
    <w:rsid w:val="71C86121"/>
    <w:rsid w:val="72FA055E"/>
    <w:rsid w:val="73B04801"/>
    <w:rsid w:val="73FF6C92"/>
    <w:rsid w:val="743966DC"/>
    <w:rsid w:val="744A500D"/>
    <w:rsid w:val="74B4BAAF"/>
    <w:rsid w:val="7898AD6E"/>
    <w:rsid w:val="78FBE070"/>
    <w:rsid w:val="79A30682"/>
    <w:rsid w:val="79EB90C5"/>
    <w:rsid w:val="7A78B00C"/>
    <w:rsid w:val="7CB3D37B"/>
    <w:rsid w:val="7F79A68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7F8E8B1"/>
  <w15:docId w15:val="{FB6CA00C-E1E1-45D5-925B-119C67E9B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ing,ERP-List Paragraph,List Paragraph11,List Paragraph111,List Paragraph Red,Bullet EY,Buletai,List Paragraph21,List Paragraph2,lp1,Bullet 1,Use Case List Paragraph,Sąrašo pastraipa1,List Paragraph1,Sąrašo pastraipa.Bullet,Bullet"/>
    <w:basedOn w:val="Normal"/>
    <w:link w:val="ListParagraphChar"/>
    <w:uiPriority w:val="34"/>
    <w:qFormat/>
    <w:rsid w:val="007068AC"/>
    <w:pPr>
      <w:ind w:left="720"/>
      <w:contextualSpacing/>
    </w:pPr>
  </w:style>
  <w:style w:type="paragraph" w:styleId="BalloonText">
    <w:name w:val="Balloon Text"/>
    <w:basedOn w:val="Normal"/>
    <w:link w:val="BalloonTextChar"/>
    <w:uiPriority w:val="99"/>
    <w:semiHidden/>
    <w:unhideWhenUsed/>
    <w:rsid w:val="007068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68AC"/>
    <w:rPr>
      <w:rFonts w:ascii="Segoe UI" w:hAnsi="Segoe UI" w:cs="Segoe UI"/>
      <w:sz w:val="18"/>
      <w:szCs w:val="18"/>
    </w:rPr>
  </w:style>
  <w:style w:type="table" w:styleId="TableGrid">
    <w:name w:val="Table Grid"/>
    <w:basedOn w:val="TableNormal"/>
    <w:uiPriority w:val="39"/>
    <w:rsid w:val="007068AC"/>
    <w:pPr>
      <w:spacing w:after="0" w:line="240" w:lineRule="auto"/>
    </w:pPr>
    <w:rPr>
      <w:rFonts w:ascii="Calibri" w:eastAsia="Calibri" w:hAnsi="Calibri"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D346B2"/>
    <w:rPr>
      <w:sz w:val="16"/>
      <w:szCs w:val="16"/>
    </w:rPr>
  </w:style>
  <w:style w:type="paragraph" w:styleId="CommentText">
    <w:name w:val="annotation text"/>
    <w:basedOn w:val="Normal"/>
    <w:link w:val="CommentTextChar"/>
    <w:uiPriority w:val="99"/>
    <w:unhideWhenUsed/>
    <w:rsid w:val="00D346B2"/>
    <w:pPr>
      <w:spacing w:line="240" w:lineRule="auto"/>
    </w:pPr>
    <w:rPr>
      <w:sz w:val="20"/>
      <w:szCs w:val="20"/>
    </w:rPr>
  </w:style>
  <w:style w:type="character" w:customStyle="1" w:styleId="CommentTextChar">
    <w:name w:val="Comment Text Char"/>
    <w:basedOn w:val="DefaultParagraphFont"/>
    <w:link w:val="CommentText"/>
    <w:uiPriority w:val="99"/>
    <w:rsid w:val="00D346B2"/>
    <w:rPr>
      <w:sz w:val="20"/>
      <w:szCs w:val="20"/>
    </w:rPr>
  </w:style>
  <w:style w:type="paragraph" w:styleId="CommentSubject">
    <w:name w:val="annotation subject"/>
    <w:basedOn w:val="CommentText"/>
    <w:next w:val="CommentText"/>
    <w:link w:val="CommentSubjectChar"/>
    <w:uiPriority w:val="99"/>
    <w:unhideWhenUsed/>
    <w:rsid w:val="00D346B2"/>
    <w:rPr>
      <w:b/>
      <w:bCs/>
    </w:rPr>
  </w:style>
  <w:style w:type="character" w:customStyle="1" w:styleId="CommentSubjectChar">
    <w:name w:val="Comment Subject Char"/>
    <w:basedOn w:val="CommentTextChar"/>
    <w:link w:val="CommentSubject"/>
    <w:uiPriority w:val="99"/>
    <w:rsid w:val="00D346B2"/>
    <w:rPr>
      <w:b/>
      <w:bCs/>
      <w:sz w:val="20"/>
      <w:szCs w:val="20"/>
    </w:rPr>
  </w:style>
  <w:style w:type="character" w:styleId="PlaceholderText">
    <w:name w:val="Placeholder Text"/>
    <w:basedOn w:val="DefaultParagraphFont"/>
    <w:uiPriority w:val="99"/>
    <w:semiHidden/>
    <w:rsid w:val="00A4407F"/>
    <w:rPr>
      <w:color w:val="808080"/>
    </w:rPr>
  </w:style>
  <w:style w:type="paragraph" w:customStyle="1" w:styleId="paragraph">
    <w:name w:val="paragraph"/>
    <w:basedOn w:val="Normal"/>
    <w:rsid w:val="008D4FC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8D4FCC"/>
  </w:style>
  <w:style w:type="character" w:customStyle="1" w:styleId="eop">
    <w:name w:val="eop"/>
    <w:basedOn w:val="DefaultParagraphFont"/>
    <w:rsid w:val="008D4FCC"/>
  </w:style>
  <w:style w:type="character" w:customStyle="1" w:styleId="ListParagraphChar">
    <w:name w:val="List Paragraph Char"/>
    <w:aliases w:val="Numbering Char,ERP-List Paragraph Char,List Paragraph11 Char,List Paragraph111 Char,List Paragraph Red Char,Bullet EY Char,Buletai Char,List Paragraph21 Char,List Paragraph2 Char,lp1 Char,Bullet 1 Char,Use Case List Paragraph Char"/>
    <w:link w:val="ListParagraph"/>
    <w:uiPriority w:val="34"/>
    <w:qFormat/>
    <w:locked/>
    <w:rsid w:val="00695FEC"/>
  </w:style>
  <w:style w:type="paragraph" w:styleId="Header">
    <w:name w:val="header"/>
    <w:basedOn w:val="Normal"/>
    <w:link w:val="HeaderChar"/>
    <w:uiPriority w:val="99"/>
    <w:unhideWhenUsed/>
    <w:rsid w:val="00A60578"/>
    <w:pPr>
      <w:tabs>
        <w:tab w:val="center" w:pos="4819"/>
        <w:tab w:val="right" w:pos="9638"/>
      </w:tabs>
      <w:spacing w:after="0" w:line="240" w:lineRule="auto"/>
    </w:pPr>
  </w:style>
  <w:style w:type="character" w:customStyle="1" w:styleId="HeaderChar">
    <w:name w:val="Header Char"/>
    <w:basedOn w:val="DefaultParagraphFont"/>
    <w:link w:val="Header"/>
    <w:uiPriority w:val="99"/>
    <w:rsid w:val="00A60578"/>
  </w:style>
  <w:style w:type="paragraph" w:styleId="Footer">
    <w:name w:val="footer"/>
    <w:basedOn w:val="Normal"/>
    <w:link w:val="FooterChar"/>
    <w:uiPriority w:val="99"/>
    <w:unhideWhenUsed/>
    <w:rsid w:val="00A60578"/>
    <w:pPr>
      <w:tabs>
        <w:tab w:val="center" w:pos="4819"/>
        <w:tab w:val="right" w:pos="9638"/>
      </w:tabs>
      <w:spacing w:after="0" w:line="240" w:lineRule="auto"/>
    </w:pPr>
  </w:style>
  <w:style w:type="character" w:customStyle="1" w:styleId="FooterChar">
    <w:name w:val="Footer Char"/>
    <w:basedOn w:val="DefaultParagraphFont"/>
    <w:link w:val="Footer"/>
    <w:uiPriority w:val="99"/>
    <w:rsid w:val="00A60578"/>
  </w:style>
  <w:style w:type="paragraph" w:styleId="Revision">
    <w:name w:val="Revision"/>
    <w:hidden/>
    <w:uiPriority w:val="99"/>
    <w:semiHidden/>
    <w:rsid w:val="003E1708"/>
    <w:pPr>
      <w:spacing w:after="0" w:line="240" w:lineRule="auto"/>
    </w:pPr>
  </w:style>
  <w:style w:type="table" w:customStyle="1" w:styleId="TableGrid1">
    <w:name w:val="Table Grid1"/>
    <w:basedOn w:val="TableNormal"/>
    <w:next w:val="TableGrid"/>
    <w:uiPriority w:val="39"/>
    <w:rsid w:val="007118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34D57"/>
    <w:rPr>
      <w:color w:val="0563C1" w:themeColor="hyperlink"/>
      <w:u w:val="single"/>
    </w:rPr>
  </w:style>
  <w:style w:type="character" w:styleId="UnresolvedMention">
    <w:name w:val="Unresolved Mention"/>
    <w:basedOn w:val="DefaultParagraphFont"/>
    <w:uiPriority w:val="99"/>
    <w:semiHidden/>
    <w:unhideWhenUsed/>
    <w:rsid w:val="00134D57"/>
    <w:rPr>
      <w:color w:val="605E5C"/>
      <w:shd w:val="clear" w:color="auto" w:fill="E1DFDD"/>
    </w:rPr>
  </w:style>
  <w:style w:type="paragraph" w:styleId="FootnoteText">
    <w:name w:val="footnote text"/>
    <w:basedOn w:val="Normal"/>
    <w:link w:val="FootnoteTextChar"/>
    <w:uiPriority w:val="99"/>
    <w:semiHidden/>
    <w:unhideWhenUsed/>
    <w:rsid w:val="00AA6ACC"/>
    <w:pPr>
      <w:spacing w:after="0" w:line="240" w:lineRule="auto"/>
    </w:pPr>
    <w:rPr>
      <w:sz w:val="20"/>
      <w:szCs w:val="20"/>
      <w:lang w:val="lt-LT"/>
    </w:rPr>
  </w:style>
  <w:style w:type="character" w:customStyle="1" w:styleId="FootnoteTextChar">
    <w:name w:val="Footnote Text Char"/>
    <w:basedOn w:val="DefaultParagraphFont"/>
    <w:link w:val="FootnoteText"/>
    <w:uiPriority w:val="99"/>
    <w:semiHidden/>
    <w:rsid w:val="00AA6ACC"/>
    <w:rPr>
      <w:sz w:val="20"/>
      <w:szCs w:val="20"/>
      <w:lang w:val="lt-LT"/>
    </w:rPr>
  </w:style>
  <w:style w:type="character" w:styleId="FootnoteReference">
    <w:name w:val="footnote reference"/>
    <w:basedOn w:val="DefaultParagraphFont"/>
    <w:uiPriority w:val="99"/>
    <w:semiHidden/>
    <w:unhideWhenUsed/>
    <w:rsid w:val="00AA6ACC"/>
    <w:rPr>
      <w:vertAlign w:val="superscript"/>
    </w:rPr>
  </w:style>
  <w:style w:type="table" w:customStyle="1" w:styleId="TableGrid2">
    <w:name w:val="Table Grid2"/>
    <w:basedOn w:val="TableNormal"/>
    <w:next w:val="TableGrid"/>
    <w:uiPriority w:val="59"/>
    <w:rsid w:val="00120CFE"/>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BA0802"/>
    <w:rPr>
      <w:b/>
      <w:bCs/>
    </w:rPr>
  </w:style>
  <w:style w:type="character" w:customStyle="1" w:styleId="contentcontrolboundarysink">
    <w:name w:val="contentcontrolboundarysink"/>
    <w:basedOn w:val="DefaultParagraphFont"/>
    <w:rsid w:val="00886A1A"/>
  </w:style>
  <w:style w:type="table" w:customStyle="1" w:styleId="TableGrid3">
    <w:name w:val="Table Grid3"/>
    <w:basedOn w:val="TableNormal"/>
    <w:next w:val="TableGrid"/>
    <w:uiPriority w:val="39"/>
    <w:rsid w:val="008F68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
    <w:rsid w:val="008F686D"/>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table" w:customStyle="1" w:styleId="TableGrid4">
    <w:name w:val="Table Grid4"/>
    <w:basedOn w:val="TableNormal"/>
    <w:next w:val="TableGrid"/>
    <w:uiPriority w:val="39"/>
    <w:rsid w:val="005935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2C1968"/>
    <w:pPr>
      <w:spacing w:after="0" w:line="240" w:lineRule="auto"/>
    </w:pPr>
    <w:rPr>
      <w:rFonts w:ascii="Calibri" w:eastAsia="Calibri" w:hAnsi="Calibri"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062623">
      <w:bodyDiv w:val="1"/>
      <w:marLeft w:val="0"/>
      <w:marRight w:val="0"/>
      <w:marTop w:val="0"/>
      <w:marBottom w:val="0"/>
      <w:divBdr>
        <w:top w:val="none" w:sz="0" w:space="0" w:color="auto"/>
        <w:left w:val="none" w:sz="0" w:space="0" w:color="auto"/>
        <w:bottom w:val="none" w:sz="0" w:space="0" w:color="auto"/>
        <w:right w:val="none" w:sz="0" w:space="0" w:color="auto"/>
      </w:divBdr>
    </w:div>
    <w:div w:id="332992453">
      <w:bodyDiv w:val="1"/>
      <w:marLeft w:val="0"/>
      <w:marRight w:val="0"/>
      <w:marTop w:val="0"/>
      <w:marBottom w:val="0"/>
      <w:divBdr>
        <w:top w:val="none" w:sz="0" w:space="0" w:color="auto"/>
        <w:left w:val="none" w:sz="0" w:space="0" w:color="auto"/>
        <w:bottom w:val="none" w:sz="0" w:space="0" w:color="auto"/>
        <w:right w:val="none" w:sz="0" w:space="0" w:color="auto"/>
      </w:divBdr>
    </w:div>
    <w:div w:id="559291421">
      <w:bodyDiv w:val="1"/>
      <w:marLeft w:val="0"/>
      <w:marRight w:val="0"/>
      <w:marTop w:val="0"/>
      <w:marBottom w:val="0"/>
      <w:divBdr>
        <w:top w:val="none" w:sz="0" w:space="0" w:color="auto"/>
        <w:left w:val="none" w:sz="0" w:space="0" w:color="auto"/>
        <w:bottom w:val="none" w:sz="0" w:space="0" w:color="auto"/>
        <w:right w:val="none" w:sz="0" w:space="0" w:color="auto"/>
      </w:divBdr>
      <w:divsChild>
        <w:div w:id="165025567">
          <w:marLeft w:val="0"/>
          <w:marRight w:val="0"/>
          <w:marTop w:val="0"/>
          <w:marBottom w:val="0"/>
          <w:divBdr>
            <w:top w:val="none" w:sz="0" w:space="0" w:color="auto"/>
            <w:left w:val="none" w:sz="0" w:space="0" w:color="auto"/>
            <w:bottom w:val="none" w:sz="0" w:space="0" w:color="auto"/>
            <w:right w:val="none" w:sz="0" w:space="0" w:color="auto"/>
          </w:divBdr>
        </w:div>
        <w:div w:id="472791456">
          <w:marLeft w:val="0"/>
          <w:marRight w:val="0"/>
          <w:marTop w:val="0"/>
          <w:marBottom w:val="0"/>
          <w:divBdr>
            <w:top w:val="none" w:sz="0" w:space="0" w:color="auto"/>
            <w:left w:val="none" w:sz="0" w:space="0" w:color="auto"/>
            <w:bottom w:val="none" w:sz="0" w:space="0" w:color="auto"/>
            <w:right w:val="none" w:sz="0" w:space="0" w:color="auto"/>
          </w:divBdr>
        </w:div>
        <w:div w:id="1383600843">
          <w:marLeft w:val="0"/>
          <w:marRight w:val="0"/>
          <w:marTop w:val="0"/>
          <w:marBottom w:val="0"/>
          <w:divBdr>
            <w:top w:val="none" w:sz="0" w:space="0" w:color="auto"/>
            <w:left w:val="none" w:sz="0" w:space="0" w:color="auto"/>
            <w:bottom w:val="none" w:sz="0" w:space="0" w:color="auto"/>
            <w:right w:val="none" w:sz="0" w:space="0" w:color="auto"/>
          </w:divBdr>
        </w:div>
        <w:div w:id="2085300408">
          <w:marLeft w:val="0"/>
          <w:marRight w:val="0"/>
          <w:marTop w:val="0"/>
          <w:marBottom w:val="0"/>
          <w:divBdr>
            <w:top w:val="none" w:sz="0" w:space="0" w:color="auto"/>
            <w:left w:val="none" w:sz="0" w:space="0" w:color="auto"/>
            <w:bottom w:val="none" w:sz="0" w:space="0" w:color="auto"/>
            <w:right w:val="none" w:sz="0" w:space="0" w:color="auto"/>
          </w:divBdr>
        </w:div>
      </w:divsChild>
    </w:div>
    <w:div w:id="919368439">
      <w:bodyDiv w:val="1"/>
      <w:marLeft w:val="0"/>
      <w:marRight w:val="0"/>
      <w:marTop w:val="0"/>
      <w:marBottom w:val="0"/>
      <w:divBdr>
        <w:top w:val="none" w:sz="0" w:space="0" w:color="auto"/>
        <w:left w:val="none" w:sz="0" w:space="0" w:color="auto"/>
        <w:bottom w:val="none" w:sz="0" w:space="0" w:color="auto"/>
        <w:right w:val="none" w:sz="0" w:space="0" w:color="auto"/>
      </w:divBdr>
    </w:div>
    <w:div w:id="1029523601">
      <w:bodyDiv w:val="1"/>
      <w:marLeft w:val="0"/>
      <w:marRight w:val="0"/>
      <w:marTop w:val="0"/>
      <w:marBottom w:val="0"/>
      <w:divBdr>
        <w:top w:val="none" w:sz="0" w:space="0" w:color="auto"/>
        <w:left w:val="none" w:sz="0" w:space="0" w:color="auto"/>
        <w:bottom w:val="none" w:sz="0" w:space="0" w:color="auto"/>
        <w:right w:val="none" w:sz="0" w:space="0" w:color="auto"/>
      </w:divBdr>
    </w:div>
    <w:div w:id="1158887882">
      <w:bodyDiv w:val="1"/>
      <w:marLeft w:val="0"/>
      <w:marRight w:val="0"/>
      <w:marTop w:val="0"/>
      <w:marBottom w:val="0"/>
      <w:divBdr>
        <w:top w:val="none" w:sz="0" w:space="0" w:color="auto"/>
        <w:left w:val="none" w:sz="0" w:space="0" w:color="auto"/>
        <w:bottom w:val="none" w:sz="0" w:space="0" w:color="auto"/>
        <w:right w:val="none" w:sz="0" w:space="0" w:color="auto"/>
      </w:divBdr>
    </w:div>
    <w:div w:id="1266697518">
      <w:bodyDiv w:val="1"/>
      <w:marLeft w:val="0"/>
      <w:marRight w:val="0"/>
      <w:marTop w:val="0"/>
      <w:marBottom w:val="0"/>
      <w:divBdr>
        <w:top w:val="none" w:sz="0" w:space="0" w:color="auto"/>
        <w:left w:val="none" w:sz="0" w:space="0" w:color="auto"/>
        <w:bottom w:val="none" w:sz="0" w:space="0" w:color="auto"/>
        <w:right w:val="none" w:sz="0" w:space="0" w:color="auto"/>
      </w:divBdr>
    </w:div>
    <w:div w:id="1425344430">
      <w:bodyDiv w:val="1"/>
      <w:marLeft w:val="0"/>
      <w:marRight w:val="0"/>
      <w:marTop w:val="0"/>
      <w:marBottom w:val="0"/>
      <w:divBdr>
        <w:top w:val="none" w:sz="0" w:space="0" w:color="auto"/>
        <w:left w:val="none" w:sz="0" w:space="0" w:color="auto"/>
        <w:bottom w:val="none" w:sz="0" w:space="0" w:color="auto"/>
        <w:right w:val="none" w:sz="0" w:space="0" w:color="auto"/>
      </w:divBdr>
    </w:div>
    <w:div w:id="1425611536">
      <w:bodyDiv w:val="1"/>
      <w:marLeft w:val="0"/>
      <w:marRight w:val="0"/>
      <w:marTop w:val="0"/>
      <w:marBottom w:val="0"/>
      <w:divBdr>
        <w:top w:val="none" w:sz="0" w:space="0" w:color="auto"/>
        <w:left w:val="none" w:sz="0" w:space="0" w:color="auto"/>
        <w:bottom w:val="none" w:sz="0" w:space="0" w:color="auto"/>
        <w:right w:val="none" w:sz="0" w:space="0" w:color="auto"/>
      </w:divBdr>
      <w:divsChild>
        <w:div w:id="672685331">
          <w:marLeft w:val="0"/>
          <w:marRight w:val="0"/>
          <w:marTop w:val="0"/>
          <w:marBottom w:val="0"/>
          <w:divBdr>
            <w:top w:val="none" w:sz="0" w:space="0" w:color="auto"/>
            <w:left w:val="none" w:sz="0" w:space="0" w:color="auto"/>
            <w:bottom w:val="none" w:sz="0" w:space="0" w:color="auto"/>
            <w:right w:val="none" w:sz="0" w:space="0" w:color="auto"/>
          </w:divBdr>
          <w:divsChild>
            <w:div w:id="493911170">
              <w:marLeft w:val="0"/>
              <w:marRight w:val="0"/>
              <w:marTop w:val="0"/>
              <w:marBottom w:val="0"/>
              <w:divBdr>
                <w:top w:val="none" w:sz="0" w:space="0" w:color="auto"/>
                <w:left w:val="none" w:sz="0" w:space="0" w:color="auto"/>
                <w:bottom w:val="none" w:sz="0" w:space="0" w:color="auto"/>
                <w:right w:val="none" w:sz="0" w:space="0" w:color="auto"/>
              </w:divBdr>
            </w:div>
            <w:div w:id="984235843">
              <w:marLeft w:val="0"/>
              <w:marRight w:val="0"/>
              <w:marTop w:val="0"/>
              <w:marBottom w:val="0"/>
              <w:divBdr>
                <w:top w:val="none" w:sz="0" w:space="0" w:color="auto"/>
                <w:left w:val="none" w:sz="0" w:space="0" w:color="auto"/>
                <w:bottom w:val="none" w:sz="0" w:space="0" w:color="auto"/>
                <w:right w:val="none" w:sz="0" w:space="0" w:color="auto"/>
              </w:divBdr>
            </w:div>
          </w:divsChild>
        </w:div>
        <w:div w:id="1067843935">
          <w:marLeft w:val="0"/>
          <w:marRight w:val="0"/>
          <w:marTop w:val="0"/>
          <w:marBottom w:val="0"/>
          <w:divBdr>
            <w:top w:val="none" w:sz="0" w:space="0" w:color="auto"/>
            <w:left w:val="none" w:sz="0" w:space="0" w:color="auto"/>
            <w:bottom w:val="none" w:sz="0" w:space="0" w:color="auto"/>
            <w:right w:val="none" w:sz="0" w:space="0" w:color="auto"/>
          </w:divBdr>
          <w:divsChild>
            <w:div w:id="37319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2615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ED7654DFF08AEF449E7FDACDFA49E9EB" ma:contentTypeVersion="2" ma:contentTypeDescription="Kurkite naują dokumentą." ma:contentTypeScope="" ma:versionID="e15065c522e9baffe201f1406fe6d73f">
  <xsd:schema xmlns:xsd="http://www.w3.org/2001/XMLSchema" xmlns:xs="http://www.w3.org/2001/XMLSchema" xmlns:p="http://schemas.microsoft.com/office/2006/metadata/properties" xmlns:ns2="20327d7f-0a17-4f87-aba5-4199324bdac2" targetNamespace="http://schemas.microsoft.com/office/2006/metadata/properties" ma:root="true" ma:fieldsID="7f9a6837c7d6e4500af9d0a277119af8" ns2:_="">
    <xsd:import namespace="20327d7f-0a17-4f87-aba5-4199324bda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327d7f-0a17-4f87-aba5-4199324bda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EA946D-1621-4BC3-B7D4-53FCB6CA2F50}">
  <ds:schemaRefs>
    <ds:schemaRef ds:uri="http://purl.org/dc/dcmitype/"/>
    <ds:schemaRef ds:uri="20327d7f-0a17-4f87-aba5-4199324bdac2"/>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purl.org/dc/terms/"/>
  </ds:schemaRefs>
</ds:datastoreItem>
</file>

<file path=customXml/itemProps2.xml><?xml version="1.0" encoding="utf-8"?>
<ds:datastoreItem xmlns:ds="http://schemas.openxmlformats.org/officeDocument/2006/customXml" ds:itemID="{E7E83DB3-30D4-4F76-AE46-CEE6F93DFD25}">
  <ds:schemaRefs>
    <ds:schemaRef ds:uri="http://schemas.microsoft.com/sharepoint/v3/contenttype/forms"/>
  </ds:schemaRefs>
</ds:datastoreItem>
</file>

<file path=customXml/itemProps3.xml><?xml version="1.0" encoding="utf-8"?>
<ds:datastoreItem xmlns:ds="http://schemas.openxmlformats.org/officeDocument/2006/customXml" ds:itemID="{061B9821-F5BA-4EBC-94D6-5604AFBE1698}">
  <ds:schemaRefs>
    <ds:schemaRef ds:uri="http://schemas.openxmlformats.org/officeDocument/2006/bibliography"/>
  </ds:schemaRefs>
</ds:datastoreItem>
</file>

<file path=customXml/itemProps4.xml><?xml version="1.0" encoding="utf-8"?>
<ds:datastoreItem xmlns:ds="http://schemas.openxmlformats.org/officeDocument/2006/customXml" ds:itemID="{40F19A17-6318-4835-B130-43C3F65A87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327d7f-0a17-4f87-aba5-4199324bda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1</TotalTime>
  <Pages>4</Pages>
  <Words>4532</Words>
  <Characters>2584</Characters>
  <Application>Microsoft Office Word</Application>
  <DocSecurity>2</DocSecurity>
  <Lines>21</Lines>
  <Paragraphs>14</Paragraphs>
  <ScaleCrop>false</ScaleCrop>
  <Company/>
  <LinksUpToDate>false</LinksUpToDate>
  <CharactersWithSpaces>7102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Indrė Bivainytė</dc:creator>
  <cp:keywords/>
  <dc:description/>
  <cp:lastModifiedBy>Gediminas Bliujus</cp:lastModifiedBy>
  <cp:revision>2</cp:revision>
  <dcterms:created xsi:type="dcterms:W3CDTF">2021-10-08T06:09:00Z</dcterms:created>
  <dcterms:modified xsi:type="dcterms:W3CDTF">2021-10-08T06:09:00Z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etDate">
    <vt:lpwstr>2020-10-28T11:48:40Z</vt:lpwstr>
  </property>
  <property fmtid="{D5CDD505-2E9C-101B-9397-08002B2CF9AE}" pid="4" name="MSIP_Label_cfcb905c-755b-4fd4-bd20-0d682d4f1d27_Method">
    <vt:lpwstr>Standard</vt:lpwstr>
  </property>
  <property fmtid="{D5CDD505-2E9C-101B-9397-08002B2CF9AE}" pid="5" name="MSIP_Label_cfcb905c-755b-4fd4-bd20-0d682d4f1d27_Name">
    <vt:lpwstr>Internal</vt:lpwstr>
  </property>
  <property fmtid="{D5CDD505-2E9C-101B-9397-08002B2CF9AE}" pid="6" name="MSIP_Label_cfcb905c-755b-4fd4-bd20-0d682d4f1d27_SiteId">
    <vt:lpwstr>d91d5b65-9d38-4908-9bd1-ebc28a01cade</vt:lpwstr>
  </property>
  <property fmtid="{D5CDD505-2E9C-101B-9397-08002B2CF9AE}" pid="7" name="MSIP_Label_cfcb905c-755b-4fd4-bd20-0d682d4f1d27_ActionId">
    <vt:lpwstr>8fb8154d-7c08-4078-9ce6-41cf227be5dc</vt:lpwstr>
  </property>
  <property fmtid="{D5CDD505-2E9C-101B-9397-08002B2CF9AE}" pid="8" name="MSIP_Label_cfcb905c-755b-4fd4-bd20-0d682d4f1d27_ContentBits">
    <vt:lpwstr>0</vt:lpwstr>
  </property>
  <property fmtid="{D5CDD505-2E9C-101B-9397-08002B2CF9AE}" pid="9" name="ContentTypeId">
    <vt:lpwstr>0x010100ED7654DFF08AEF449E7FDACDFA49E9EB</vt:lpwstr>
  </property>
</Properties>
</file>