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6222EFDC"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50246E0C" w14:textId="77777777" w:rsidR="001A21BC" w:rsidRPr="001A21BC" w:rsidRDefault="001A21BC" w:rsidP="001A21BC">
      <w:pPr>
        <w:suppressAutoHyphens/>
        <w:spacing w:line="276" w:lineRule="auto"/>
        <w:jc w:val="center"/>
        <w:rPr>
          <w:rFonts w:asciiTheme="majorBidi" w:eastAsia="MS Mincho" w:hAnsiTheme="majorBidi" w:cstheme="majorBidi"/>
          <w:color w:val="000000"/>
          <w:lang w:val="lt-LT"/>
        </w:rPr>
      </w:pPr>
      <w:r w:rsidRPr="001A21BC">
        <w:rPr>
          <w:b/>
          <w:bCs/>
          <w:lang w:val="lt-LT"/>
        </w:rPr>
        <w:t>VILNIAUS KALVARIJŲ KOMPLEKSO ŠV. KRYŽIAUS ATRADIMO BAŽNYČIOS (U. K. KVR 1038), VAD. KALVARIJŲ, VILNIAUS MIESTO SAV., VILNIAUS M., KALVARIJŲ G. 327, INTERJERO – SIENŲ TAPYBOS RESTAURAVIMO, KONSERVAVIMO DARBAI (II IR IV ETAPAI)</w:t>
      </w:r>
    </w:p>
    <w:p w14:paraId="4CB31057" w14:textId="77777777" w:rsidR="001A21BC" w:rsidRDefault="001A21BC" w:rsidP="00080689">
      <w:pPr>
        <w:rPr>
          <w:b/>
          <w:bCs/>
          <w:color w:val="000000" w:themeColor="text1"/>
          <w:lang w:val="lt-LT"/>
        </w:rPr>
      </w:pPr>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CD0436"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CD0436"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CD0436"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CD0436"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CD0436"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CD0436"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Mar>
              <w:top w:w="0" w:type="dxa"/>
              <w:left w:w="108" w:type="dxa"/>
              <w:bottom w:w="0" w:type="dxa"/>
              <w:right w:w="108" w:type="dxa"/>
            </w:tcMar>
            <w:vAlign w:val="center"/>
            <w:hideMark/>
          </w:tcPr>
          <w:p w14:paraId="40A3F6B7" w14:textId="77777777" w:rsidR="00C62448" w:rsidRPr="00E81174" w:rsidRDefault="00C62448" w:rsidP="0007393B">
            <w:pPr>
              <w:keepNext/>
              <w:keepLines/>
              <w:tabs>
                <w:tab w:val="left" w:pos="1296"/>
              </w:tabs>
              <w:ind w:left="73"/>
              <w:jc w:val="center"/>
              <w:outlineLvl w:val="4"/>
              <w:rPr>
                <w:bCs/>
                <w:lang w:val="lt-LT" w:eastAsia="zh-CN"/>
              </w:rPr>
            </w:pPr>
            <w:r w:rsidRPr="00E81174">
              <w:rPr>
                <w:bCs/>
                <w:lang w:val="lt-LT" w:eastAsia="zh-CN"/>
              </w:rPr>
              <w:t>Darbų gupių (etapų)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07393B">
            <w:pPr>
              <w:jc w:val="center"/>
              <w:rPr>
                <w:b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E81174">
              <w:rPr>
                <w:bCs/>
                <w:lang w:val="lt-LT" w:eastAsia="zh-CN"/>
              </w:rPr>
              <w:t>Kaina be PVM*</w:t>
            </w:r>
          </w:p>
        </w:tc>
      </w:tr>
      <w:tr w:rsidR="00E81174" w:rsidRPr="001767AD" w14:paraId="7AB03EC7" w14:textId="77777777" w:rsidTr="00325730">
        <w:trPr>
          <w:trHeight w:val="178"/>
        </w:trPr>
        <w:tc>
          <w:tcPr>
            <w:tcW w:w="395" w:type="pct"/>
            <w:tcMar>
              <w:top w:w="0" w:type="dxa"/>
              <w:left w:w="108" w:type="dxa"/>
              <w:bottom w:w="0" w:type="dxa"/>
              <w:right w:w="108" w:type="dxa"/>
            </w:tcMar>
          </w:tcPr>
          <w:p w14:paraId="22A3B059" w14:textId="21B0C75A" w:rsidR="00E81174" w:rsidRPr="00E81174" w:rsidRDefault="00E81174" w:rsidP="00E81174">
            <w:pPr>
              <w:spacing w:line="360" w:lineRule="auto"/>
              <w:jc w:val="center"/>
              <w:rPr>
                <w:bCs/>
                <w:lang w:val="lt-LT" w:eastAsia="zh-CN"/>
              </w:rPr>
            </w:pPr>
            <w:r w:rsidRPr="00E81174">
              <w:rPr>
                <w:bCs/>
                <w:lang w:val="lt-LT" w:eastAsia="zh-CN"/>
              </w:rPr>
              <w:t>1.</w:t>
            </w:r>
          </w:p>
        </w:tc>
        <w:tc>
          <w:tcPr>
            <w:tcW w:w="3680" w:type="pct"/>
            <w:tcMar>
              <w:top w:w="0" w:type="dxa"/>
              <w:left w:w="108" w:type="dxa"/>
              <w:bottom w:w="0" w:type="dxa"/>
              <w:right w:w="108" w:type="dxa"/>
            </w:tcMar>
          </w:tcPr>
          <w:p w14:paraId="7CB1069E" w14:textId="4A3C3D77" w:rsidR="00E81174" w:rsidRPr="00E81174" w:rsidRDefault="00AC6135" w:rsidP="00E81174">
            <w:pPr>
              <w:rPr>
                <w:bCs/>
                <w:lang w:val="lt-LT" w:eastAsia="zh-CN"/>
              </w:rPr>
            </w:pPr>
            <w:r w:rsidRPr="001767AD">
              <w:rPr>
                <w:rFonts w:eastAsia="Arial"/>
                <w:b/>
                <w:bCs/>
                <w:color w:val="050505"/>
                <w:lang w:val="pt-PT"/>
              </w:rPr>
              <w:t>II Etapas. Pietinė šv. Hiacinto koplyčia (1.1</w:t>
            </w:r>
            <w:r w:rsidR="00C232EB" w:rsidRPr="001767AD">
              <w:rPr>
                <w:rFonts w:eastAsia="Arial"/>
                <w:b/>
                <w:bCs/>
                <w:color w:val="050505"/>
                <w:lang w:val="pt-PT"/>
              </w:rPr>
              <w:t>+1.2+1.3+1.4)</w:t>
            </w:r>
          </w:p>
        </w:tc>
        <w:tc>
          <w:tcPr>
            <w:tcW w:w="925" w:type="pct"/>
            <w:tcMar>
              <w:top w:w="0" w:type="dxa"/>
              <w:left w:w="108" w:type="dxa"/>
              <w:bottom w:w="0" w:type="dxa"/>
              <w:right w:w="108" w:type="dxa"/>
            </w:tcMar>
          </w:tcPr>
          <w:p w14:paraId="2E57D5C2" w14:textId="77777777" w:rsidR="00E81174" w:rsidRPr="00E81174" w:rsidRDefault="00E81174" w:rsidP="00E81174">
            <w:pPr>
              <w:spacing w:line="360" w:lineRule="auto"/>
              <w:jc w:val="right"/>
              <w:rPr>
                <w:bCs/>
                <w:lang w:val="lt-LT" w:eastAsia="zh-CN"/>
              </w:rPr>
            </w:pPr>
          </w:p>
        </w:tc>
      </w:tr>
      <w:tr w:rsidR="00E81174" w:rsidRPr="00CD0436" w14:paraId="1E1BCF3E" w14:textId="77777777" w:rsidTr="00325730">
        <w:trPr>
          <w:trHeight w:val="178"/>
        </w:trPr>
        <w:tc>
          <w:tcPr>
            <w:tcW w:w="395" w:type="pct"/>
            <w:tcMar>
              <w:top w:w="0" w:type="dxa"/>
              <w:left w:w="108" w:type="dxa"/>
              <w:bottom w:w="0" w:type="dxa"/>
              <w:right w:w="108" w:type="dxa"/>
            </w:tcMar>
          </w:tcPr>
          <w:p w14:paraId="56654730" w14:textId="4868F570" w:rsidR="00E81174" w:rsidRPr="00E81174" w:rsidRDefault="00B065F3" w:rsidP="00E81174">
            <w:pPr>
              <w:spacing w:line="360" w:lineRule="auto"/>
              <w:jc w:val="center"/>
              <w:rPr>
                <w:bCs/>
                <w:lang w:val="lt-LT" w:eastAsia="zh-CN"/>
              </w:rPr>
            </w:pPr>
            <w:r>
              <w:rPr>
                <w:bCs/>
                <w:lang w:val="lt-LT" w:eastAsia="zh-CN"/>
              </w:rPr>
              <w:t>1.1.</w:t>
            </w:r>
          </w:p>
        </w:tc>
        <w:tc>
          <w:tcPr>
            <w:tcW w:w="3680" w:type="pct"/>
            <w:tcMar>
              <w:top w:w="0" w:type="dxa"/>
              <w:left w:w="108" w:type="dxa"/>
              <w:bottom w:w="0" w:type="dxa"/>
              <w:right w:w="108" w:type="dxa"/>
            </w:tcMar>
            <w:vAlign w:val="center"/>
          </w:tcPr>
          <w:p w14:paraId="0668CFB0" w14:textId="3EFCECDA" w:rsidR="00E81174" w:rsidRPr="001E2014" w:rsidRDefault="001E2014" w:rsidP="00E81174">
            <w:pPr>
              <w:rPr>
                <w:bCs/>
                <w:lang w:val="lt-LT" w:eastAsia="zh-CN"/>
              </w:rPr>
            </w:pPr>
            <w:r w:rsidRPr="001E2014">
              <w:rPr>
                <w:rFonts w:eastAsia="Calibri"/>
                <w:color w:val="1C1C1F"/>
                <w:lang w:val="lt-LT"/>
              </w:rPr>
              <w:t xml:space="preserve">Pietinės </w:t>
            </w:r>
            <w:proofErr w:type="spellStart"/>
            <w:r w:rsidRPr="001E2014">
              <w:rPr>
                <w:rFonts w:eastAsia="Calibri"/>
                <w:color w:val="1C1C1F"/>
                <w:lang w:val="lt-LT"/>
              </w:rPr>
              <w:t>šv.</w:t>
            </w:r>
            <w:proofErr w:type="spellEnd"/>
            <w:r w:rsidRPr="001E2014">
              <w:rPr>
                <w:rFonts w:eastAsia="Calibri"/>
                <w:color w:val="1C1C1F"/>
                <w:lang w:val="lt-LT"/>
              </w:rPr>
              <w:t xml:space="preserve"> Hiacinto koplyčios skliautų ir sienų tapybos atidengimas</w:t>
            </w:r>
          </w:p>
        </w:tc>
        <w:tc>
          <w:tcPr>
            <w:tcW w:w="925" w:type="pct"/>
            <w:tcMar>
              <w:top w:w="0" w:type="dxa"/>
              <w:left w:w="108" w:type="dxa"/>
              <w:bottom w:w="0" w:type="dxa"/>
              <w:right w:w="108" w:type="dxa"/>
            </w:tcMar>
          </w:tcPr>
          <w:p w14:paraId="7DF43ED8" w14:textId="77777777" w:rsidR="00E81174" w:rsidRPr="00E81174" w:rsidRDefault="00E81174" w:rsidP="00E81174">
            <w:pPr>
              <w:spacing w:line="360" w:lineRule="auto"/>
              <w:jc w:val="right"/>
              <w:rPr>
                <w:bCs/>
                <w:lang w:val="lt-LT" w:eastAsia="zh-CN"/>
              </w:rPr>
            </w:pPr>
          </w:p>
        </w:tc>
      </w:tr>
      <w:tr w:rsidR="00E81174" w:rsidRPr="00CD0436" w14:paraId="1536E7CB" w14:textId="77777777" w:rsidTr="00325730">
        <w:trPr>
          <w:trHeight w:val="178"/>
        </w:trPr>
        <w:tc>
          <w:tcPr>
            <w:tcW w:w="395" w:type="pct"/>
            <w:tcMar>
              <w:top w:w="0" w:type="dxa"/>
              <w:left w:w="108" w:type="dxa"/>
              <w:bottom w:w="0" w:type="dxa"/>
              <w:right w:w="108" w:type="dxa"/>
            </w:tcMar>
          </w:tcPr>
          <w:p w14:paraId="2BEA5138" w14:textId="02C1D49B" w:rsidR="00E81174" w:rsidRPr="00E81174" w:rsidRDefault="00447E19" w:rsidP="00E81174">
            <w:pPr>
              <w:spacing w:line="360" w:lineRule="auto"/>
              <w:jc w:val="center"/>
              <w:rPr>
                <w:bCs/>
                <w:lang w:val="lt-LT" w:eastAsia="zh-CN"/>
              </w:rPr>
            </w:pPr>
            <w:r>
              <w:rPr>
                <w:bCs/>
                <w:lang w:val="lt-LT" w:eastAsia="zh-CN"/>
              </w:rPr>
              <w:t>1.2.</w:t>
            </w:r>
          </w:p>
        </w:tc>
        <w:tc>
          <w:tcPr>
            <w:tcW w:w="3680" w:type="pct"/>
            <w:tcMar>
              <w:top w:w="0" w:type="dxa"/>
              <w:left w:w="108" w:type="dxa"/>
              <w:bottom w:w="0" w:type="dxa"/>
              <w:right w:w="108" w:type="dxa"/>
            </w:tcMar>
            <w:vAlign w:val="center"/>
          </w:tcPr>
          <w:p w14:paraId="573AA710" w14:textId="22C8523B" w:rsidR="00E81174" w:rsidRPr="00325730" w:rsidRDefault="00325730" w:rsidP="00E81174">
            <w:pPr>
              <w:rPr>
                <w:bCs/>
                <w:lang w:val="lt-LT" w:eastAsia="zh-CN"/>
              </w:rPr>
            </w:pPr>
            <w:r w:rsidRPr="00325730">
              <w:rPr>
                <w:rFonts w:eastAsia="Calibri"/>
                <w:color w:val="1C1C1F"/>
                <w:lang w:val="lt-LT"/>
              </w:rPr>
              <w:t>Koplyčios XVIII – XX a. pr. skliautų tapyba (Sienų išklotinėse žr. plotus ,,H“).</w:t>
            </w:r>
          </w:p>
        </w:tc>
        <w:tc>
          <w:tcPr>
            <w:tcW w:w="925" w:type="pct"/>
            <w:tcMar>
              <w:top w:w="0" w:type="dxa"/>
              <w:left w:w="108" w:type="dxa"/>
              <w:bottom w:w="0" w:type="dxa"/>
              <w:right w:w="108" w:type="dxa"/>
            </w:tcMar>
          </w:tcPr>
          <w:p w14:paraId="0027E2DD" w14:textId="77777777" w:rsidR="00E81174" w:rsidRPr="00E81174" w:rsidRDefault="00E81174" w:rsidP="00E81174">
            <w:pPr>
              <w:spacing w:line="360" w:lineRule="auto"/>
              <w:jc w:val="right"/>
              <w:rPr>
                <w:bCs/>
                <w:lang w:val="lt-LT" w:eastAsia="zh-CN"/>
              </w:rPr>
            </w:pPr>
          </w:p>
        </w:tc>
      </w:tr>
      <w:tr w:rsidR="00E81174" w:rsidRPr="00CD0436" w14:paraId="66DB0FC9" w14:textId="77777777" w:rsidTr="00325730">
        <w:trPr>
          <w:trHeight w:val="178"/>
        </w:trPr>
        <w:tc>
          <w:tcPr>
            <w:tcW w:w="395" w:type="pct"/>
            <w:tcMar>
              <w:top w:w="0" w:type="dxa"/>
              <w:left w:w="108" w:type="dxa"/>
              <w:bottom w:w="0" w:type="dxa"/>
              <w:right w:w="108" w:type="dxa"/>
            </w:tcMar>
          </w:tcPr>
          <w:p w14:paraId="7667105D" w14:textId="34BBD6D5" w:rsidR="00E81174" w:rsidRPr="00E81174" w:rsidRDefault="00447E19" w:rsidP="00E81174">
            <w:pPr>
              <w:spacing w:line="360" w:lineRule="auto"/>
              <w:jc w:val="center"/>
              <w:rPr>
                <w:bCs/>
                <w:lang w:val="lt-LT" w:eastAsia="zh-CN"/>
              </w:rPr>
            </w:pPr>
            <w:r>
              <w:rPr>
                <w:bCs/>
                <w:lang w:val="lt-LT" w:eastAsia="zh-CN"/>
              </w:rPr>
              <w:t>1.3.</w:t>
            </w:r>
          </w:p>
        </w:tc>
        <w:tc>
          <w:tcPr>
            <w:tcW w:w="3680" w:type="pct"/>
            <w:tcMar>
              <w:top w:w="0" w:type="dxa"/>
              <w:left w:w="108" w:type="dxa"/>
              <w:bottom w:w="0" w:type="dxa"/>
              <w:right w:w="108" w:type="dxa"/>
            </w:tcMar>
            <w:vAlign w:val="center"/>
          </w:tcPr>
          <w:p w14:paraId="6AEBC224" w14:textId="1B7D0DD8" w:rsidR="00E81174" w:rsidRPr="00623C80" w:rsidRDefault="00623C80" w:rsidP="00E81174">
            <w:pPr>
              <w:rPr>
                <w:bCs/>
                <w:lang w:val="lt-LT" w:eastAsia="zh-CN"/>
              </w:rPr>
            </w:pPr>
            <w:r w:rsidRPr="00623C80">
              <w:rPr>
                <w:rFonts w:eastAsia="Calibri"/>
                <w:color w:val="1C1C1F"/>
                <w:lang w:val="lt-LT"/>
              </w:rPr>
              <w:t>Koplyčios įėjimo angokraščio XVIII a. tapyba (Sienų išklotinėse žr. plotus ,,I“).</w:t>
            </w:r>
          </w:p>
        </w:tc>
        <w:tc>
          <w:tcPr>
            <w:tcW w:w="925" w:type="pct"/>
            <w:tcMar>
              <w:top w:w="0" w:type="dxa"/>
              <w:left w:w="108" w:type="dxa"/>
              <w:bottom w:w="0" w:type="dxa"/>
              <w:right w:w="108" w:type="dxa"/>
            </w:tcMar>
          </w:tcPr>
          <w:p w14:paraId="7183C2F4" w14:textId="77777777" w:rsidR="00E81174" w:rsidRPr="00E81174" w:rsidRDefault="00E81174" w:rsidP="00E81174">
            <w:pPr>
              <w:spacing w:line="360" w:lineRule="auto"/>
              <w:jc w:val="right"/>
              <w:rPr>
                <w:bCs/>
                <w:lang w:val="lt-LT" w:eastAsia="zh-CN"/>
              </w:rPr>
            </w:pPr>
          </w:p>
        </w:tc>
      </w:tr>
      <w:tr w:rsidR="00D245C3" w:rsidRPr="00CD0436" w14:paraId="7A48E798" w14:textId="77777777" w:rsidTr="00325730">
        <w:trPr>
          <w:trHeight w:val="178"/>
        </w:trPr>
        <w:tc>
          <w:tcPr>
            <w:tcW w:w="395" w:type="pct"/>
            <w:tcMar>
              <w:top w:w="0" w:type="dxa"/>
              <w:left w:w="108" w:type="dxa"/>
              <w:bottom w:w="0" w:type="dxa"/>
              <w:right w:w="108" w:type="dxa"/>
            </w:tcMar>
          </w:tcPr>
          <w:p w14:paraId="7CF989AD" w14:textId="588B4AE2" w:rsidR="00D245C3" w:rsidRPr="00E81174" w:rsidRDefault="00D245C3" w:rsidP="00D245C3">
            <w:pPr>
              <w:spacing w:line="360" w:lineRule="auto"/>
              <w:jc w:val="center"/>
              <w:rPr>
                <w:bCs/>
                <w:lang w:val="lt-LT" w:eastAsia="zh-CN"/>
              </w:rPr>
            </w:pPr>
            <w:r>
              <w:rPr>
                <w:bCs/>
                <w:lang w:val="lt-LT" w:eastAsia="zh-CN"/>
              </w:rPr>
              <w:t>1.4.</w:t>
            </w:r>
          </w:p>
        </w:tc>
        <w:tc>
          <w:tcPr>
            <w:tcW w:w="3680" w:type="pct"/>
            <w:tcMar>
              <w:top w:w="0" w:type="dxa"/>
              <w:left w:w="108" w:type="dxa"/>
              <w:bottom w:w="0" w:type="dxa"/>
              <w:right w:w="108" w:type="dxa"/>
            </w:tcMar>
            <w:vAlign w:val="center"/>
          </w:tcPr>
          <w:p w14:paraId="0C23B520" w14:textId="440471B0" w:rsidR="00D245C3" w:rsidRPr="00E81174" w:rsidRDefault="00D245C3" w:rsidP="00D245C3">
            <w:pPr>
              <w:rPr>
                <w:bCs/>
                <w:lang w:val="lt-LT" w:eastAsia="zh-CN"/>
              </w:rPr>
            </w:pPr>
            <w:r w:rsidRPr="00D245C3">
              <w:rPr>
                <w:rFonts w:eastAsia="Calibri"/>
                <w:color w:val="1C1C1F"/>
                <w:lang w:val="lt-LT"/>
              </w:rPr>
              <w:t xml:space="preserve">Koplyčios XVIII a. sienų tapybos fragmentai viršutinėje </w:t>
            </w:r>
            <w:proofErr w:type="spellStart"/>
            <w:r w:rsidRPr="00D245C3">
              <w:rPr>
                <w:rFonts w:eastAsia="Calibri"/>
                <w:color w:val="1C1C1F"/>
                <w:lang w:val="lt-LT"/>
              </w:rPr>
              <w:t>dalyja</w:t>
            </w:r>
            <w:proofErr w:type="spellEnd"/>
            <w:r w:rsidRPr="00D245C3">
              <w:rPr>
                <w:rFonts w:eastAsia="Calibri"/>
                <w:color w:val="1C1C1F"/>
                <w:lang w:val="lt-LT"/>
              </w:rPr>
              <w:t xml:space="preserve"> (Sienų išklotinėse žr. plotus ,,J“).</w:t>
            </w:r>
          </w:p>
        </w:tc>
        <w:tc>
          <w:tcPr>
            <w:tcW w:w="925" w:type="pct"/>
            <w:tcMar>
              <w:top w:w="0" w:type="dxa"/>
              <w:left w:w="108" w:type="dxa"/>
              <w:bottom w:w="0" w:type="dxa"/>
              <w:right w:w="108" w:type="dxa"/>
            </w:tcMar>
          </w:tcPr>
          <w:p w14:paraId="50E84917" w14:textId="77777777" w:rsidR="00D245C3" w:rsidRPr="00E81174" w:rsidRDefault="00D245C3" w:rsidP="00D245C3">
            <w:pPr>
              <w:spacing w:line="360" w:lineRule="auto"/>
              <w:jc w:val="right"/>
              <w:rPr>
                <w:bCs/>
                <w:lang w:val="lt-LT" w:eastAsia="zh-CN"/>
              </w:rPr>
            </w:pPr>
          </w:p>
        </w:tc>
      </w:tr>
      <w:tr w:rsidR="00D245C3" w:rsidRPr="00CD0436" w14:paraId="6FDE304F" w14:textId="77777777" w:rsidTr="00325730">
        <w:trPr>
          <w:trHeight w:val="178"/>
        </w:trPr>
        <w:tc>
          <w:tcPr>
            <w:tcW w:w="395" w:type="pct"/>
            <w:tcMar>
              <w:top w:w="0" w:type="dxa"/>
              <w:left w:w="108" w:type="dxa"/>
              <w:bottom w:w="0" w:type="dxa"/>
              <w:right w:w="108" w:type="dxa"/>
            </w:tcMar>
          </w:tcPr>
          <w:p w14:paraId="610AD7F5" w14:textId="59F1451F" w:rsidR="00D245C3" w:rsidRPr="00E81174" w:rsidRDefault="00D245C3" w:rsidP="00D245C3">
            <w:pPr>
              <w:spacing w:line="360" w:lineRule="auto"/>
              <w:jc w:val="center"/>
              <w:rPr>
                <w:bCs/>
                <w:lang w:val="lt-LT" w:eastAsia="zh-CN"/>
              </w:rPr>
            </w:pPr>
            <w:r>
              <w:rPr>
                <w:bCs/>
                <w:lang w:val="lt-LT" w:eastAsia="zh-CN"/>
              </w:rPr>
              <w:lastRenderedPageBreak/>
              <w:t>1.5.</w:t>
            </w:r>
          </w:p>
        </w:tc>
        <w:tc>
          <w:tcPr>
            <w:tcW w:w="3680" w:type="pct"/>
            <w:tcMar>
              <w:top w:w="0" w:type="dxa"/>
              <w:left w:w="108" w:type="dxa"/>
              <w:bottom w:w="0" w:type="dxa"/>
              <w:right w:w="108" w:type="dxa"/>
            </w:tcMar>
            <w:vAlign w:val="center"/>
          </w:tcPr>
          <w:p w14:paraId="780BA9E4" w14:textId="62C56472" w:rsidR="00D245C3" w:rsidRPr="00FF2808" w:rsidRDefault="00FF2808" w:rsidP="00D245C3">
            <w:pPr>
              <w:rPr>
                <w:lang w:val="lt-LT"/>
              </w:rPr>
            </w:pPr>
            <w:r w:rsidRPr="00FF2808">
              <w:rPr>
                <w:rFonts w:eastAsia="Calibri"/>
                <w:color w:val="1C1C1F"/>
                <w:lang w:val="lt-LT"/>
              </w:rPr>
              <w:t xml:space="preserve">Pietinės </w:t>
            </w:r>
            <w:proofErr w:type="spellStart"/>
            <w:r w:rsidRPr="00FF2808">
              <w:rPr>
                <w:rFonts w:eastAsia="Calibri"/>
                <w:color w:val="1C1C1F"/>
                <w:lang w:val="lt-LT"/>
              </w:rPr>
              <w:t>šv.</w:t>
            </w:r>
            <w:proofErr w:type="spellEnd"/>
            <w:r w:rsidRPr="00FF2808">
              <w:rPr>
                <w:rFonts w:eastAsia="Calibri"/>
                <w:color w:val="1C1C1F"/>
                <w:lang w:val="lt-LT"/>
              </w:rPr>
              <w:t xml:space="preserve"> Hiacinto koplyčios sienų be tapybos valymas, tinko restauravimas, paviršių dažymas</w:t>
            </w:r>
          </w:p>
        </w:tc>
        <w:tc>
          <w:tcPr>
            <w:tcW w:w="925" w:type="pct"/>
            <w:tcMar>
              <w:top w:w="0" w:type="dxa"/>
              <w:left w:w="108" w:type="dxa"/>
              <w:bottom w:w="0" w:type="dxa"/>
              <w:right w:w="108" w:type="dxa"/>
            </w:tcMar>
          </w:tcPr>
          <w:p w14:paraId="72819280" w14:textId="77777777" w:rsidR="00D245C3" w:rsidRPr="00E81174" w:rsidRDefault="00D245C3" w:rsidP="00D245C3">
            <w:pPr>
              <w:spacing w:line="360" w:lineRule="auto"/>
              <w:jc w:val="right"/>
              <w:rPr>
                <w:bCs/>
                <w:lang w:val="lt-LT" w:eastAsia="zh-CN"/>
              </w:rPr>
            </w:pPr>
          </w:p>
        </w:tc>
      </w:tr>
      <w:tr w:rsidR="00D245C3" w:rsidRPr="001A21BC" w14:paraId="2BE18058" w14:textId="77777777" w:rsidTr="00325730">
        <w:trPr>
          <w:trHeight w:val="178"/>
        </w:trPr>
        <w:tc>
          <w:tcPr>
            <w:tcW w:w="395" w:type="pct"/>
            <w:tcMar>
              <w:top w:w="0" w:type="dxa"/>
              <w:left w:w="108" w:type="dxa"/>
              <w:bottom w:w="0" w:type="dxa"/>
              <w:right w:w="108" w:type="dxa"/>
            </w:tcMar>
          </w:tcPr>
          <w:p w14:paraId="52FBAFE5" w14:textId="46187F6A" w:rsidR="00D245C3" w:rsidRPr="00E81174" w:rsidRDefault="00D245C3" w:rsidP="00D245C3">
            <w:pPr>
              <w:spacing w:line="360" w:lineRule="auto"/>
              <w:jc w:val="center"/>
              <w:rPr>
                <w:bCs/>
                <w:lang w:val="lt-LT" w:eastAsia="zh-CN"/>
              </w:rPr>
            </w:pPr>
            <w:r>
              <w:rPr>
                <w:bCs/>
                <w:lang w:val="lt-LT" w:eastAsia="zh-CN"/>
              </w:rPr>
              <w:t>2.</w:t>
            </w:r>
          </w:p>
        </w:tc>
        <w:tc>
          <w:tcPr>
            <w:tcW w:w="3680" w:type="pct"/>
            <w:tcMar>
              <w:top w:w="0" w:type="dxa"/>
              <w:left w:w="108" w:type="dxa"/>
              <w:bottom w:w="0" w:type="dxa"/>
              <w:right w:w="108" w:type="dxa"/>
            </w:tcMar>
            <w:vAlign w:val="center"/>
          </w:tcPr>
          <w:p w14:paraId="1C97D8A2" w14:textId="76E94014" w:rsidR="00D245C3" w:rsidRPr="00E81174" w:rsidRDefault="002D2AE1" w:rsidP="00D245C3">
            <w:pPr>
              <w:rPr>
                <w:lang w:val="lt-LT"/>
              </w:rPr>
            </w:pPr>
            <w:r w:rsidRPr="0011101D">
              <w:rPr>
                <w:rFonts w:eastAsia="Arial"/>
                <w:b/>
                <w:bCs/>
                <w:color w:val="050505"/>
              </w:rPr>
              <w:t xml:space="preserve">IV </w:t>
            </w:r>
            <w:proofErr w:type="spellStart"/>
            <w:r w:rsidRPr="0011101D">
              <w:rPr>
                <w:rFonts w:eastAsia="Arial"/>
                <w:b/>
                <w:bCs/>
                <w:color w:val="050505"/>
              </w:rPr>
              <w:t>Etapas</w:t>
            </w:r>
            <w:proofErr w:type="spellEnd"/>
            <w:r w:rsidRPr="0011101D">
              <w:rPr>
                <w:rFonts w:eastAsia="Arial"/>
                <w:b/>
                <w:bCs/>
                <w:color w:val="050505"/>
              </w:rPr>
              <w:t xml:space="preserve">. </w:t>
            </w:r>
            <w:proofErr w:type="spellStart"/>
            <w:r w:rsidRPr="0011101D">
              <w:rPr>
                <w:rFonts w:eastAsia="Arial"/>
                <w:b/>
                <w:bCs/>
                <w:color w:val="050505"/>
              </w:rPr>
              <w:t>Šiaurinė</w:t>
            </w:r>
            <w:proofErr w:type="spellEnd"/>
            <w:r w:rsidRPr="0011101D">
              <w:rPr>
                <w:rFonts w:eastAsia="Arial"/>
                <w:b/>
                <w:bCs/>
                <w:color w:val="050505"/>
              </w:rPr>
              <w:t xml:space="preserve"> </w:t>
            </w:r>
            <w:proofErr w:type="spellStart"/>
            <w:r w:rsidRPr="0011101D">
              <w:rPr>
                <w:rFonts w:eastAsia="Arial"/>
                <w:b/>
                <w:bCs/>
                <w:color w:val="050505"/>
              </w:rPr>
              <w:t>koplyčia</w:t>
            </w:r>
            <w:proofErr w:type="spellEnd"/>
            <w:r w:rsidR="006445DB">
              <w:rPr>
                <w:rFonts w:eastAsia="Arial"/>
                <w:b/>
                <w:bCs/>
                <w:color w:val="050505"/>
              </w:rPr>
              <w:t xml:space="preserve"> </w:t>
            </w:r>
            <w:r w:rsidR="006445DB" w:rsidRPr="006445DB">
              <w:rPr>
                <w:rFonts w:eastAsia="Arial"/>
                <w:color w:val="050505"/>
              </w:rPr>
              <w:t>(2.1+2.2)</w:t>
            </w:r>
          </w:p>
        </w:tc>
        <w:tc>
          <w:tcPr>
            <w:tcW w:w="925" w:type="pct"/>
            <w:tcMar>
              <w:top w:w="0" w:type="dxa"/>
              <w:left w:w="108" w:type="dxa"/>
              <w:bottom w:w="0" w:type="dxa"/>
              <w:right w:w="108" w:type="dxa"/>
            </w:tcMar>
          </w:tcPr>
          <w:p w14:paraId="085E7CAC" w14:textId="77777777" w:rsidR="00D245C3" w:rsidRPr="00E81174" w:rsidRDefault="00D245C3" w:rsidP="00D245C3">
            <w:pPr>
              <w:spacing w:line="360" w:lineRule="auto"/>
              <w:jc w:val="right"/>
              <w:rPr>
                <w:bCs/>
                <w:lang w:val="lt-LT" w:eastAsia="zh-CN"/>
              </w:rPr>
            </w:pPr>
          </w:p>
        </w:tc>
      </w:tr>
      <w:tr w:rsidR="00D245C3" w:rsidRPr="00CD0436" w14:paraId="15C8529A" w14:textId="77777777" w:rsidTr="00325730">
        <w:trPr>
          <w:trHeight w:val="178"/>
        </w:trPr>
        <w:tc>
          <w:tcPr>
            <w:tcW w:w="395" w:type="pct"/>
            <w:tcMar>
              <w:top w:w="0" w:type="dxa"/>
              <w:left w:w="108" w:type="dxa"/>
              <w:bottom w:w="0" w:type="dxa"/>
              <w:right w:w="108" w:type="dxa"/>
            </w:tcMar>
          </w:tcPr>
          <w:p w14:paraId="3FD3B15A" w14:textId="2E176ED6" w:rsidR="00D245C3" w:rsidRDefault="00D245C3" w:rsidP="00D245C3">
            <w:pPr>
              <w:spacing w:line="360" w:lineRule="auto"/>
              <w:jc w:val="center"/>
              <w:rPr>
                <w:bCs/>
                <w:lang w:val="lt-LT" w:eastAsia="zh-CN"/>
              </w:rPr>
            </w:pPr>
            <w:r>
              <w:rPr>
                <w:bCs/>
                <w:lang w:val="lt-LT" w:eastAsia="zh-CN"/>
              </w:rPr>
              <w:t>2.1.</w:t>
            </w:r>
          </w:p>
        </w:tc>
        <w:tc>
          <w:tcPr>
            <w:tcW w:w="3680" w:type="pct"/>
            <w:tcMar>
              <w:top w:w="0" w:type="dxa"/>
              <w:left w:w="108" w:type="dxa"/>
              <w:bottom w:w="0" w:type="dxa"/>
              <w:right w:w="108" w:type="dxa"/>
            </w:tcMar>
            <w:vAlign w:val="center"/>
          </w:tcPr>
          <w:p w14:paraId="3747AA47" w14:textId="683C8DDE" w:rsidR="00D245C3" w:rsidRPr="000C4959" w:rsidRDefault="000C4959" w:rsidP="00D245C3">
            <w:pPr>
              <w:rPr>
                <w:lang w:val="lt-LT"/>
              </w:rPr>
            </w:pPr>
            <w:r w:rsidRPr="000C4959">
              <w:rPr>
                <w:rFonts w:eastAsia="Calibri"/>
                <w:color w:val="1C1C1F"/>
                <w:lang w:val="lt-LT"/>
              </w:rPr>
              <w:t>Šiaurinės koplyčios skliautų valymas, tinko restauravimas, dažymas</w:t>
            </w:r>
          </w:p>
        </w:tc>
        <w:tc>
          <w:tcPr>
            <w:tcW w:w="925" w:type="pct"/>
            <w:tcMar>
              <w:top w:w="0" w:type="dxa"/>
              <w:left w:w="108" w:type="dxa"/>
              <w:bottom w:w="0" w:type="dxa"/>
              <w:right w:w="108" w:type="dxa"/>
            </w:tcMar>
          </w:tcPr>
          <w:p w14:paraId="535C44CD" w14:textId="77777777" w:rsidR="00D245C3" w:rsidRPr="00E81174" w:rsidRDefault="00D245C3" w:rsidP="00D245C3">
            <w:pPr>
              <w:spacing w:line="360" w:lineRule="auto"/>
              <w:jc w:val="right"/>
              <w:rPr>
                <w:bCs/>
                <w:lang w:val="lt-LT" w:eastAsia="zh-CN"/>
              </w:rPr>
            </w:pPr>
          </w:p>
        </w:tc>
      </w:tr>
      <w:tr w:rsidR="00D245C3" w:rsidRPr="00CD0436" w14:paraId="7F1B695B" w14:textId="77777777" w:rsidTr="00325730">
        <w:trPr>
          <w:trHeight w:val="178"/>
        </w:trPr>
        <w:tc>
          <w:tcPr>
            <w:tcW w:w="395" w:type="pct"/>
            <w:tcMar>
              <w:top w:w="0" w:type="dxa"/>
              <w:left w:w="108" w:type="dxa"/>
              <w:bottom w:w="0" w:type="dxa"/>
              <w:right w:w="108" w:type="dxa"/>
            </w:tcMar>
          </w:tcPr>
          <w:p w14:paraId="2E29DE87" w14:textId="4B50E97B" w:rsidR="00D245C3" w:rsidRDefault="00D245C3" w:rsidP="00D245C3">
            <w:pPr>
              <w:spacing w:line="360" w:lineRule="auto"/>
              <w:jc w:val="center"/>
              <w:rPr>
                <w:bCs/>
                <w:lang w:val="lt-LT" w:eastAsia="zh-CN"/>
              </w:rPr>
            </w:pPr>
            <w:r>
              <w:rPr>
                <w:bCs/>
                <w:lang w:val="lt-LT" w:eastAsia="zh-CN"/>
              </w:rPr>
              <w:t>2.2.</w:t>
            </w:r>
          </w:p>
        </w:tc>
        <w:tc>
          <w:tcPr>
            <w:tcW w:w="3680" w:type="pct"/>
            <w:tcMar>
              <w:top w:w="0" w:type="dxa"/>
              <w:left w:w="108" w:type="dxa"/>
              <w:bottom w:w="0" w:type="dxa"/>
              <w:right w:w="108" w:type="dxa"/>
            </w:tcMar>
            <w:vAlign w:val="center"/>
          </w:tcPr>
          <w:p w14:paraId="174AA9BA" w14:textId="033DBBB3" w:rsidR="00D245C3" w:rsidRPr="002760AF" w:rsidRDefault="002760AF" w:rsidP="00D245C3">
            <w:pPr>
              <w:rPr>
                <w:lang w:val="lt-LT"/>
              </w:rPr>
            </w:pPr>
            <w:r w:rsidRPr="002760AF">
              <w:rPr>
                <w:rFonts w:eastAsia="Calibri"/>
                <w:color w:val="1C1C1F"/>
                <w:lang w:val="lt-LT"/>
              </w:rPr>
              <w:t>Šiaurinės koplyčios sienų valymas, tinko restauravimas, dažymas</w:t>
            </w:r>
          </w:p>
        </w:tc>
        <w:tc>
          <w:tcPr>
            <w:tcW w:w="925" w:type="pct"/>
            <w:tcMar>
              <w:top w:w="0" w:type="dxa"/>
              <w:left w:w="108" w:type="dxa"/>
              <w:bottom w:w="0" w:type="dxa"/>
              <w:right w:w="108" w:type="dxa"/>
            </w:tcMar>
          </w:tcPr>
          <w:p w14:paraId="265DFF64" w14:textId="77777777" w:rsidR="00D245C3" w:rsidRPr="00E81174" w:rsidRDefault="00D245C3" w:rsidP="00D245C3">
            <w:pPr>
              <w:spacing w:line="360" w:lineRule="auto"/>
              <w:jc w:val="right"/>
              <w:rPr>
                <w:bCs/>
                <w:lang w:val="lt-LT" w:eastAsia="zh-CN"/>
              </w:rPr>
            </w:pPr>
          </w:p>
        </w:tc>
      </w:tr>
      <w:tr w:rsidR="00D245C3" w:rsidRPr="00CD0436" w14:paraId="3549BBD9" w14:textId="77777777" w:rsidTr="00325730">
        <w:trPr>
          <w:trHeight w:val="178"/>
        </w:trPr>
        <w:tc>
          <w:tcPr>
            <w:tcW w:w="395" w:type="pct"/>
            <w:tcMar>
              <w:top w:w="0" w:type="dxa"/>
              <w:left w:w="108" w:type="dxa"/>
              <w:bottom w:w="0" w:type="dxa"/>
              <w:right w:w="108" w:type="dxa"/>
            </w:tcMar>
          </w:tcPr>
          <w:p w14:paraId="3945866B" w14:textId="52E49AE1" w:rsidR="00D245C3" w:rsidRPr="00E81174" w:rsidRDefault="00D245C3" w:rsidP="00D245C3">
            <w:pPr>
              <w:spacing w:line="360" w:lineRule="auto"/>
              <w:jc w:val="center"/>
              <w:rPr>
                <w:bCs/>
                <w:lang w:val="lt-LT" w:eastAsia="zh-CN"/>
              </w:rPr>
            </w:pPr>
            <w:r>
              <w:rPr>
                <w:bCs/>
                <w:lang w:val="lt-LT" w:eastAsia="zh-CN"/>
              </w:rPr>
              <w:t>3.</w:t>
            </w:r>
          </w:p>
        </w:tc>
        <w:tc>
          <w:tcPr>
            <w:tcW w:w="3680" w:type="pct"/>
            <w:tcMar>
              <w:top w:w="0" w:type="dxa"/>
              <w:left w:w="108" w:type="dxa"/>
              <w:bottom w:w="0" w:type="dxa"/>
              <w:right w:w="108" w:type="dxa"/>
            </w:tcMar>
            <w:vAlign w:val="center"/>
          </w:tcPr>
          <w:p w14:paraId="3B4285B2" w14:textId="0BA67E9F" w:rsidR="00D245C3" w:rsidRPr="001767AD" w:rsidRDefault="006445DB" w:rsidP="00D245C3">
            <w:pPr>
              <w:rPr>
                <w:lang w:val="pt-PT"/>
              </w:rPr>
            </w:pPr>
            <w:r w:rsidRPr="001767AD">
              <w:rPr>
                <w:rFonts w:eastAsia="Arial"/>
                <w:b/>
                <w:bCs/>
                <w:color w:val="030305"/>
                <w:w w:val="105"/>
                <w:lang w:val="pt-PT"/>
              </w:rPr>
              <w:t>Kiti darbai (pastolių inventoriaus montavimas ir demontavimas, uždengimas apsaugine danga)</w:t>
            </w:r>
          </w:p>
        </w:tc>
        <w:tc>
          <w:tcPr>
            <w:tcW w:w="925" w:type="pct"/>
            <w:tcMar>
              <w:top w:w="0" w:type="dxa"/>
              <w:left w:w="108" w:type="dxa"/>
              <w:bottom w:w="0" w:type="dxa"/>
              <w:right w:w="108" w:type="dxa"/>
            </w:tcMar>
          </w:tcPr>
          <w:p w14:paraId="020FDACE" w14:textId="77777777" w:rsidR="00D245C3" w:rsidRPr="00E81174" w:rsidRDefault="00D245C3" w:rsidP="00D245C3">
            <w:pPr>
              <w:spacing w:line="360" w:lineRule="auto"/>
              <w:jc w:val="right"/>
              <w:rPr>
                <w:bCs/>
                <w:lang w:val="lt-LT" w:eastAsia="zh-CN"/>
              </w:rPr>
            </w:pPr>
          </w:p>
        </w:tc>
      </w:tr>
      <w:tr w:rsidR="00D245C3" w:rsidRPr="00C62448" w14:paraId="33D9425F" w14:textId="77777777" w:rsidTr="00325730">
        <w:trPr>
          <w:trHeight w:val="277"/>
        </w:trPr>
        <w:tc>
          <w:tcPr>
            <w:tcW w:w="4075" w:type="pct"/>
            <w:gridSpan w:val="2"/>
            <w:tcMar>
              <w:top w:w="0" w:type="dxa"/>
              <w:left w:w="108" w:type="dxa"/>
              <w:bottom w:w="0" w:type="dxa"/>
              <w:right w:w="108" w:type="dxa"/>
            </w:tcMar>
            <w:hideMark/>
          </w:tcPr>
          <w:p w14:paraId="3667CAD6" w14:textId="6F1D6893" w:rsidR="00D245C3" w:rsidRPr="00E81174" w:rsidRDefault="00D245C3" w:rsidP="00D245C3">
            <w:pPr>
              <w:ind w:left="175"/>
              <w:jc w:val="right"/>
              <w:rPr>
                <w:bCs/>
                <w:lang w:val="lt-LT" w:eastAsia="zh-CN"/>
              </w:rPr>
            </w:pPr>
            <w:r w:rsidRPr="00E81174">
              <w:rPr>
                <w:bCs/>
                <w:lang w:val="lt-LT" w:eastAsia="zh-CN"/>
              </w:rPr>
              <w:t>Suma be PVM (Eur)*</w:t>
            </w:r>
            <w:r>
              <w:rPr>
                <w:bCs/>
                <w:lang w:val="lt-LT" w:eastAsia="zh-CN"/>
              </w:rPr>
              <w:t xml:space="preserve"> (1+ 2+3)</w:t>
            </w:r>
            <w:r w:rsidRPr="00E81174">
              <w:rPr>
                <w:bCs/>
                <w:lang w:val="lt-LT" w:eastAsia="zh-CN"/>
              </w:rPr>
              <w:t>:</w:t>
            </w:r>
          </w:p>
        </w:tc>
        <w:tc>
          <w:tcPr>
            <w:tcW w:w="925" w:type="pct"/>
            <w:tcMar>
              <w:top w:w="0" w:type="dxa"/>
              <w:left w:w="108" w:type="dxa"/>
              <w:bottom w:w="0" w:type="dxa"/>
              <w:right w:w="108" w:type="dxa"/>
            </w:tcMar>
          </w:tcPr>
          <w:p w14:paraId="46DD5380" w14:textId="77777777" w:rsidR="00D245C3" w:rsidRPr="00E81174" w:rsidRDefault="00D245C3" w:rsidP="00D245C3">
            <w:pPr>
              <w:ind w:left="-1383" w:firstLine="1383"/>
              <w:jc w:val="right"/>
              <w:rPr>
                <w:bCs/>
                <w:lang w:val="lt-LT" w:eastAsia="zh-CN"/>
              </w:rPr>
            </w:pPr>
          </w:p>
        </w:tc>
      </w:tr>
      <w:tr w:rsidR="00D245C3" w:rsidRPr="00C62448" w14:paraId="64D3B3CD" w14:textId="77777777" w:rsidTr="00325730">
        <w:trPr>
          <w:trHeight w:val="147"/>
        </w:trPr>
        <w:tc>
          <w:tcPr>
            <w:tcW w:w="4075" w:type="pct"/>
            <w:gridSpan w:val="2"/>
            <w:tcMar>
              <w:top w:w="0" w:type="dxa"/>
              <w:left w:w="108" w:type="dxa"/>
              <w:bottom w:w="0" w:type="dxa"/>
              <w:right w:w="108" w:type="dxa"/>
            </w:tcMar>
            <w:hideMark/>
          </w:tcPr>
          <w:p w14:paraId="30D40D6E" w14:textId="77777777" w:rsidR="00D245C3" w:rsidRPr="00E81174" w:rsidRDefault="00D245C3" w:rsidP="00D245C3">
            <w:pPr>
              <w:ind w:left="175"/>
              <w:jc w:val="right"/>
              <w:rPr>
                <w:bCs/>
                <w:lang w:val="lt-LT" w:eastAsia="zh-CN"/>
              </w:rPr>
            </w:pPr>
            <w:r w:rsidRPr="00E81174">
              <w:rPr>
                <w:bCs/>
                <w:lang w:val="lt-LT" w:eastAsia="zh-CN"/>
              </w:rPr>
              <w:t>PVM 21%*:</w:t>
            </w:r>
          </w:p>
        </w:tc>
        <w:tc>
          <w:tcPr>
            <w:tcW w:w="925" w:type="pct"/>
            <w:tcMar>
              <w:top w:w="0" w:type="dxa"/>
              <w:left w:w="108" w:type="dxa"/>
              <w:bottom w:w="0" w:type="dxa"/>
              <w:right w:w="108" w:type="dxa"/>
            </w:tcMar>
          </w:tcPr>
          <w:p w14:paraId="52140369" w14:textId="77777777" w:rsidR="00D245C3" w:rsidRPr="00E81174" w:rsidRDefault="00D245C3" w:rsidP="00D245C3">
            <w:pPr>
              <w:jc w:val="right"/>
              <w:rPr>
                <w:bCs/>
                <w:lang w:val="lt-LT" w:eastAsia="zh-CN"/>
              </w:rPr>
            </w:pPr>
          </w:p>
        </w:tc>
      </w:tr>
      <w:tr w:rsidR="00D245C3" w:rsidRPr="00CD0436" w14:paraId="3D48FEF9" w14:textId="77777777" w:rsidTr="00325730">
        <w:trPr>
          <w:trHeight w:val="147"/>
        </w:trPr>
        <w:tc>
          <w:tcPr>
            <w:tcW w:w="4075" w:type="pct"/>
            <w:gridSpan w:val="2"/>
            <w:tcMar>
              <w:top w:w="0" w:type="dxa"/>
              <w:left w:w="108" w:type="dxa"/>
              <w:bottom w:w="0" w:type="dxa"/>
              <w:right w:w="108" w:type="dxa"/>
            </w:tcMar>
            <w:hideMark/>
          </w:tcPr>
          <w:p w14:paraId="28A5A574" w14:textId="77777777" w:rsidR="00D245C3" w:rsidRPr="00E81174" w:rsidRDefault="00D245C3" w:rsidP="00D245C3">
            <w:pPr>
              <w:ind w:left="175"/>
              <w:jc w:val="right"/>
              <w:rPr>
                <w:bCs/>
                <w:lang w:val="lt-LT" w:eastAsia="zh-CN"/>
              </w:rPr>
            </w:pPr>
            <w:r w:rsidRPr="00E81174">
              <w:rPr>
                <w:bCs/>
                <w:lang w:val="lt-LT" w:eastAsia="zh-CN"/>
              </w:rPr>
              <w:t>Bendra suma su PVM (Eur)*:</w:t>
            </w:r>
          </w:p>
        </w:tc>
        <w:tc>
          <w:tcPr>
            <w:tcW w:w="925" w:type="pct"/>
            <w:tcMar>
              <w:top w:w="0" w:type="dxa"/>
              <w:left w:w="108" w:type="dxa"/>
              <w:bottom w:w="0" w:type="dxa"/>
              <w:right w:w="108" w:type="dxa"/>
            </w:tcMar>
          </w:tcPr>
          <w:p w14:paraId="75C90EC8" w14:textId="77777777" w:rsidR="00D245C3" w:rsidRPr="00E81174" w:rsidRDefault="00D245C3" w:rsidP="00D245C3">
            <w:pPr>
              <w:jc w:val="right"/>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CD0436"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lastRenderedPageBreak/>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CD0436"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CD0436"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xml:space="preserve">. Jeigu tiekėjas nurodo, kad sutarties vykdymui bus pasitelkti fiziniai asmenys (specialistai), kuriuos tiekėjas ketina įdarbinti pirkimo laimėjimo atveju ir kurių pajėgumais remsis, kad atitikti kvalifikacijos reikalavimus, tuomet tiekėjas privalo pateikti ketinimų protokolų </w:t>
      </w:r>
      <w:r w:rsidRPr="00080689">
        <w:rPr>
          <w:bCs/>
          <w:i/>
          <w:color w:val="000000" w:themeColor="text1"/>
          <w:lang w:val="lt-LT"/>
        </w:rPr>
        <w:lastRenderedPageBreak/>
        <w:t>(susitarimų)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7273AB48" w14:textId="77777777" w:rsidR="00C62448" w:rsidRDefault="00C62448" w:rsidP="00080689">
      <w:pPr>
        <w:ind w:firstLine="567"/>
        <w:jc w:val="both"/>
        <w:rPr>
          <w:rFonts w:eastAsia="Times New Roman"/>
          <w:color w:val="000000" w:themeColor="text1"/>
          <w:lang w:val="lt-LT"/>
        </w:rPr>
      </w:pPr>
    </w:p>
    <w:p w14:paraId="4E5BA7BE" w14:textId="77777777" w:rsidR="00C62448" w:rsidRDefault="00C62448" w:rsidP="00080689">
      <w:pPr>
        <w:ind w:firstLine="567"/>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CD0436"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CD0436"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lastRenderedPageBreak/>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92A8F"/>
    <w:rsid w:val="000B384E"/>
    <w:rsid w:val="000C4959"/>
    <w:rsid w:val="000C7DF6"/>
    <w:rsid w:val="001134D3"/>
    <w:rsid w:val="00137C0D"/>
    <w:rsid w:val="00155B18"/>
    <w:rsid w:val="001570A6"/>
    <w:rsid w:val="00166DDE"/>
    <w:rsid w:val="001767AD"/>
    <w:rsid w:val="00180756"/>
    <w:rsid w:val="00187A19"/>
    <w:rsid w:val="001A21BC"/>
    <w:rsid w:val="001B084F"/>
    <w:rsid w:val="001E2014"/>
    <w:rsid w:val="00207F13"/>
    <w:rsid w:val="0021763C"/>
    <w:rsid w:val="00246269"/>
    <w:rsid w:val="002760AF"/>
    <w:rsid w:val="002B3F08"/>
    <w:rsid w:val="002D2AE1"/>
    <w:rsid w:val="002D54C4"/>
    <w:rsid w:val="002D5CF3"/>
    <w:rsid w:val="00312D5E"/>
    <w:rsid w:val="00314CAA"/>
    <w:rsid w:val="003244CD"/>
    <w:rsid w:val="00325730"/>
    <w:rsid w:val="00331421"/>
    <w:rsid w:val="00346909"/>
    <w:rsid w:val="00362F0B"/>
    <w:rsid w:val="0037309E"/>
    <w:rsid w:val="00376CAD"/>
    <w:rsid w:val="003B4774"/>
    <w:rsid w:val="003B69EE"/>
    <w:rsid w:val="003E4EB3"/>
    <w:rsid w:val="00447E19"/>
    <w:rsid w:val="00460915"/>
    <w:rsid w:val="004934CB"/>
    <w:rsid w:val="004C74CF"/>
    <w:rsid w:val="004D249C"/>
    <w:rsid w:val="004D3FD3"/>
    <w:rsid w:val="004D6399"/>
    <w:rsid w:val="004F1A81"/>
    <w:rsid w:val="0051274B"/>
    <w:rsid w:val="00540C3E"/>
    <w:rsid w:val="005651D4"/>
    <w:rsid w:val="00593892"/>
    <w:rsid w:val="005C2F69"/>
    <w:rsid w:val="005C4838"/>
    <w:rsid w:val="00607500"/>
    <w:rsid w:val="00623C80"/>
    <w:rsid w:val="006445DB"/>
    <w:rsid w:val="006709A8"/>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519AB"/>
    <w:rsid w:val="008A4462"/>
    <w:rsid w:val="008C19A1"/>
    <w:rsid w:val="008C3AC6"/>
    <w:rsid w:val="00907489"/>
    <w:rsid w:val="00914FF5"/>
    <w:rsid w:val="00917BC4"/>
    <w:rsid w:val="00932FE0"/>
    <w:rsid w:val="009373BE"/>
    <w:rsid w:val="00955972"/>
    <w:rsid w:val="00960232"/>
    <w:rsid w:val="00964C44"/>
    <w:rsid w:val="00965A71"/>
    <w:rsid w:val="009E165F"/>
    <w:rsid w:val="009E76C6"/>
    <w:rsid w:val="00A020F7"/>
    <w:rsid w:val="00A21E94"/>
    <w:rsid w:val="00A74ABE"/>
    <w:rsid w:val="00AA5BFC"/>
    <w:rsid w:val="00AB129D"/>
    <w:rsid w:val="00AC0D62"/>
    <w:rsid w:val="00AC6135"/>
    <w:rsid w:val="00AC6B64"/>
    <w:rsid w:val="00AE635A"/>
    <w:rsid w:val="00B05368"/>
    <w:rsid w:val="00B065F3"/>
    <w:rsid w:val="00B175E9"/>
    <w:rsid w:val="00B45FBF"/>
    <w:rsid w:val="00B8019C"/>
    <w:rsid w:val="00B97CE0"/>
    <w:rsid w:val="00BB5BEC"/>
    <w:rsid w:val="00BE31ED"/>
    <w:rsid w:val="00BE6925"/>
    <w:rsid w:val="00BE7E19"/>
    <w:rsid w:val="00C066E7"/>
    <w:rsid w:val="00C20EFF"/>
    <w:rsid w:val="00C232EB"/>
    <w:rsid w:val="00C26A94"/>
    <w:rsid w:val="00C42BC3"/>
    <w:rsid w:val="00C54B4C"/>
    <w:rsid w:val="00C62448"/>
    <w:rsid w:val="00C71A95"/>
    <w:rsid w:val="00CB3FD6"/>
    <w:rsid w:val="00CD0436"/>
    <w:rsid w:val="00CD6D6C"/>
    <w:rsid w:val="00CF65D7"/>
    <w:rsid w:val="00D13EE7"/>
    <w:rsid w:val="00D245C3"/>
    <w:rsid w:val="00D42543"/>
    <w:rsid w:val="00D73564"/>
    <w:rsid w:val="00DB7714"/>
    <w:rsid w:val="00DE1FDC"/>
    <w:rsid w:val="00E03303"/>
    <w:rsid w:val="00E1155F"/>
    <w:rsid w:val="00E23D4A"/>
    <w:rsid w:val="00E81174"/>
    <w:rsid w:val="00E9060F"/>
    <w:rsid w:val="00EA0A55"/>
    <w:rsid w:val="00EC7354"/>
    <w:rsid w:val="00ED30CE"/>
    <w:rsid w:val="00F01851"/>
    <w:rsid w:val="00F079B3"/>
    <w:rsid w:val="00F56893"/>
    <w:rsid w:val="00F64493"/>
    <w:rsid w:val="00F67DD3"/>
    <w:rsid w:val="00F73FC4"/>
    <w:rsid w:val="00FC6F1C"/>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5092</Words>
  <Characters>2903</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cp:revision>
  <dcterms:created xsi:type="dcterms:W3CDTF">2026-02-24T09:35:00Z</dcterms:created>
  <dcterms:modified xsi:type="dcterms:W3CDTF">2026-02-25T05:37:00Z</dcterms:modified>
</cp:coreProperties>
</file>