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9DE" w14:textId="77777777" w:rsidR="007358B9" w:rsidRPr="00B07FD1" w:rsidRDefault="00C13E9E" w:rsidP="007358B9">
      <w:pPr>
        <w:spacing w:after="120" w:line="240" w:lineRule="auto"/>
        <w:mirrorIndents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Edukacinė komunikacijos kampanija apie „2+1“ kelio tipą (A14 kelias)</w:t>
      </w:r>
      <w:r w:rsidRPr="00B07FD1">
        <w:rPr>
          <w:rFonts w:ascii="Arial" w:hAnsi="Arial" w:cs="Arial"/>
          <w:sz w:val="22"/>
          <w:szCs w:val="22"/>
        </w:rPr>
        <w:br/>
      </w:r>
    </w:p>
    <w:p w14:paraId="35DE52EB" w14:textId="579A6E5B" w:rsidR="007358B9" w:rsidRPr="00B07FD1" w:rsidRDefault="007358B9" w:rsidP="007358B9">
      <w:pPr>
        <w:spacing w:after="120" w:line="240" w:lineRule="auto"/>
        <w:mirrorIndents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Situacija</w:t>
      </w:r>
    </w:p>
    <w:p w14:paraId="755D5443" w14:textId="77777777" w:rsidR="007358B9" w:rsidRPr="00B07FD1" w:rsidRDefault="007358B9" w:rsidP="007358B9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Preliminariai 2026 m. rudenį bus baigtas A14 kelio (Vilnius–Utena) ruožo nuo Nemenčinės sankryžos iki Molėtų (21,5–64,3 km), vadinto „</w:t>
      </w:r>
      <w:proofErr w:type="spellStart"/>
      <w:r w:rsidRPr="00B07FD1">
        <w:rPr>
          <w:rFonts w:ascii="Arial" w:hAnsi="Arial" w:cs="Arial"/>
          <w:sz w:val="22"/>
          <w:szCs w:val="22"/>
        </w:rPr>
        <w:t>betonke</w:t>
      </w:r>
      <w:proofErr w:type="spellEnd"/>
      <w:r w:rsidRPr="00B07FD1">
        <w:rPr>
          <w:rFonts w:ascii="Arial" w:hAnsi="Arial" w:cs="Arial"/>
          <w:sz w:val="22"/>
          <w:szCs w:val="22"/>
        </w:rPr>
        <w:t>“, rekonstrukcija. Šis kelias yra iš esmės modernizuojamas ir tampa vienu iš pirmųjų reikšmingų „2+1“ tipo kelių Lietuvoje.</w:t>
      </w:r>
    </w:p>
    <w:p w14:paraId="18767E10" w14:textId="77777777" w:rsidR="007358B9" w:rsidRPr="00B07FD1" w:rsidRDefault="007358B9" w:rsidP="007358B9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„2+1“ kelio tipas – tai modernus kelių infrastruktūros sprendimas, plačiai naudojamas Skandinavijos šalyse. Toks kelio sprendinys didina eismo saugumą, gerina eismo pralaidumą, mažina rizikingų lenkimų skaičių, užtikrina patogesnį ir labiau prognozuojamą eismą.</w:t>
      </w:r>
    </w:p>
    <w:p w14:paraId="14CED8B3" w14:textId="77777777" w:rsidR="007358B9" w:rsidRPr="00B07FD1" w:rsidRDefault="007358B9" w:rsidP="007358B9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Nepaisant to, kad tokio tipo pirmąją kelio atkarpą jau esame įgyvendinę prieš 7 metus Panevėžio aplinkkelyje, iki šiol daugeliui vairuotojų „2+1“ kelio tipas yra naujas ir nepakankamai suprantamas sprendimas. </w:t>
      </w:r>
    </w:p>
    <w:p w14:paraId="5E5BF6EF" w14:textId="77777777" w:rsidR="007358B9" w:rsidRPr="00B07FD1" w:rsidRDefault="007358B9" w:rsidP="007358B9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Toks sprendinys šiam keliui buvo pasirinktas, nes nuo 2018-ųjų A14 ruože Vilnius–Utena nuo 21 iki 64 km įvyko 11 priešpriešinių susidūrimų, per kuriuos sužeista 20 žmonių ir žuvo 8. „2+1“ tipo kelias magistralėje padės išvengti priešpriešinių susidūrimų. Toks pat kelias įrengtas Panevėžio aplinkkelyje, kur skaičiuojami jau 7 metai be priešpriešinių susidūrimų.</w:t>
      </w:r>
    </w:p>
    <w:p w14:paraId="5AC4AA79" w14:textId="249C4F05" w:rsidR="00422B10" w:rsidRPr="00B07FD1" w:rsidRDefault="00422B10" w:rsidP="006B1410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Problema</w:t>
      </w:r>
      <w:r w:rsidR="006B1410" w:rsidRPr="00B07FD1">
        <w:rPr>
          <w:rFonts w:ascii="Arial" w:hAnsi="Arial" w:cs="Arial"/>
          <w:sz w:val="22"/>
          <w:szCs w:val="22"/>
        </w:rPr>
        <w:t xml:space="preserve">: </w:t>
      </w:r>
      <w:r w:rsidRPr="00B07FD1">
        <w:rPr>
          <w:rFonts w:ascii="Arial" w:hAnsi="Arial" w:cs="Arial"/>
          <w:sz w:val="22"/>
          <w:szCs w:val="22"/>
        </w:rPr>
        <w:t xml:space="preserve">A14 rekonstrukcija ir įgyvendinami sprendiniai sulaukia įvairių žmonių reakcijų, yra nemažai kritikos tiek žiniasklaidoje, tiek </w:t>
      </w:r>
      <w:proofErr w:type="spellStart"/>
      <w:r w:rsidRPr="00B07FD1">
        <w:rPr>
          <w:rFonts w:ascii="Arial" w:hAnsi="Arial" w:cs="Arial"/>
          <w:sz w:val="22"/>
          <w:szCs w:val="22"/>
        </w:rPr>
        <w:t>soc</w:t>
      </w:r>
      <w:proofErr w:type="spellEnd"/>
      <w:r w:rsidRPr="00B07FD1">
        <w:rPr>
          <w:rFonts w:ascii="Arial" w:hAnsi="Arial" w:cs="Arial"/>
          <w:sz w:val="22"/>
          <w:szCs w:val="22"/>
        </w:rPr>
        <w:t>. tinkluose. Žmonės kritikuoja „2+1“ kelio tipo sprendinius ir reiškia nepasitenkinimą.</w:t>
      </w:r>
    </w:p>
    <w:p w14:paraId="45CCC836" w14:textId="77777777" w:rsidR="00422B10" w:rsidRPr="00B07FD1" w:rsidRDefault="00422B10" w:rsidP="00422B10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2025 metų lapkritį atlikto sociologinio tyrimo duomenimis, apie A14 rekonstrukciją girdėjo 65 proc. gyventojų. Pačio projekto reikalingumą didesnė dalis gyventojų (66%) vertina aukščiau vidurkio. Tačiau įgyvendinimo sėkmingumo pasiskirstymas yra įvairesnis – 48% vertina aukščiau nei vidutinį, o 22% kaip žemesnį.​ Taip pat nemaža dalis gyventojų (16%) neturi nuostatų apie projekto sėkmingumą.​</w:t>
      </w:r>
    </w:p>
    <w:p w14:paraId="4324ACD9" w14:textId="3501FF94" w:rsidR="00422B10" w:rsidRPr="00B07FD1" w:rsidRDefault="00422B10" w:rsidP="006B1410">
      <w:pPr>
        <w:spacing w:after="120" w:line="240" w:lineRule="auto"/>
        <w:mirrorIndents/>
        <w:jc w:val="both"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Pagrindinis komunikacijos iššūkis</w:t>
      </w:r>
      <w:r w:rsidR="006B1410" w:rsidRPr="00B07FD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07FD1">
        <w:rPr>
          <w:rFonts w:ascii="Arial" w:hAnsi="Arial" w:cs="Arial"/>
          <w:sz w:val="22"/>
          <w:szCs w:val="22"/>
        </w:rPr>
        <w:t>„2+1“ kelias yra technologiškai pažangus sprendimas, tačiau visuomenei jis nėra savaime suprantamas.</w:t>
      </w:r>
      <w:r w:rsidRPr="00B07F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7FD1">
        <w:rPr>
          <w:rFonts w:ascii="Arial" w:hAnsi="Arial" w:cs="Arial"/>
          <w:sz w:val="22"/>
          <w:szCs w:val="22"/>
        </w:rPr>
        <w:t>Žmonės nežino, kaip veikia 2+1 kelias, ne visada supranta jo naudą, gali jaustis nesaugiai ar nepasitikėti nauju eismo organizavimo modeliu.</w:t>
      </w:r>
    </w:p>
    <w:p w14:paraId="5203AAB3" w14:textId="16F10134" w:rsidR="0084695B" w:rsidRPr="00B07FD1" w:rsidRDefault="00422B10" w:rsidP="00507D78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Taigi pagrindinė edukacinės komunikacijos kampanijos užduotis – paversti „2+1“ kelią suprantamu, atpažįstamu ir patikimu sprendimu kasdieniam vairuotojui.</w:t>
      </w:r>
    </w:p>
    <w:p w14:paraId="1D17F693" w14:textId="03B195AD" w:rsidR="00C13E9E" w:rsidRPr="00B07FD1" w:rsidRDefault="00C13E9E" w:rsidP="00503AC3">
      <w:pPr>
        <w:spacing w:after="120" w:line="240" w:lineRule="auto"/>
        <w:mirrorIndents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Užduotis</w:t>
      </w:r>
      <w:r w:rsidR="00422B10" w:rsidRPr="00B07FD1">
        <w:rPr>
          <w:rFonts w:ascii="Arial" w:hAnsi="Arial" w:cs="Arial"/>
          <w:b/>
          <w:bCs/>
          <w:sz w:val="22"/>
          <w:szCs w:val="22"/>
        </w:rPr>
        <w:t xml:space="preserve"> tiekėjui</w:t>
      </w:r>
    </w:p>
    <w:p w14:paraId="3B5B380D" w14:textId="69F90C55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Sukurti edukacinę komunikacijos kampaniją apie „2+1“ tipo kelią, orientuotą į kasdienius </w:t>
      </w:r>
      <w:r w:rsidR="004C0291" w:rsidRPr="00B07FD1">
        <w:rPr>
          <w:rFonts w:ascii="Arial" w:hAnsi="Arial" w:cs="Arial"/>
          <w:sz w:val="22"/>
          <w:szCs w:val="22"/>
        </w:rPr>
        <w:t xml:space="preserve">magistralės </w:t>
      </w:r>
      <w:r w:rsidRPr="00B07FD1">
        <w:rPr>
          <w:rFonts w:ascii="Arial" w:hAnsi="Arial" w:cs="Arial"/>
          <w:sz w:val="22"/>
          <w:szCs w:val="22"/>
        </w:rPr>
        <w:t xml:space="preserve">A14 </w:t>
      </w:r>
      <w:r w:rsidR="004C0291" w:rsidRPr="00B07FD1">
        <w:rPr>
          <w:rFonts w:ascii="Arial" w:hAnsi="Arial" w:cs="Arial"/>
          <w:sz w:val="22"/>
          <w:szCs w:val="22"/>
        </w:rPr>
        <w:t xml:space="preserve">Vilnius–Utena ruožo nuo Nemenčinės sankryžos iki Molėtų (21,5-64,3 km) </w:t>
      </w:r>
      <w:r w:rsidRPr="00B07FD1">
        <w:rPr>
          <w:rFonts w:ascii="Arial" w:hAnsi="Arial" w:cs="Arial"/>
          <w:sz w:val="22"/>
          <w:szCs w:val="22"/>
        </w:rPr>
        <w:t>naudotojus ir vietos bendruomenes, siekiant paaiškinti šio sprendimo veikimo principą, naudą ir poveikį eismo saugumui.</w:t>
      </w:r>
      <w:r w:rsidR="004C0291" w:rsidRPr="00B07FD1">
        <w:rPr>
          <w:rFonts w:ascii="Arial" w:hAnsi="Arial" w:cs="Arial"/>
          <w:sz w:val="22"/>
          <w:szCs w:val="22"/>
        </w:rPr>
        <w:t xml:space="preserve"> </w:t>
      </w:r>
    </w:p>
    <w:p w14:paraId="35820B9D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Pagrindinis kampanijos fokusas – A14 kelias kaip konkretus pavyzdys, per kurį visuomenei pristatomas „2+1“ kelio tipas. Kampanijos esmė – ne tik informuoti apie infrastruktūros pokyčius, bet ir padėti žmonėms suprasti, kodėl šis sprendimas pasirinktas, kaip jis veikia ir kokią realią naudą suteikia kasdieniams vairuotojams.</w:t>
      </w:r>
    </w:p>
    <w:p w14:paraId="5904450C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Kampanija pirmiausia orientuota į vietinę auditoriją – kasdienius A14 naudotojus ir regiono gyventojus, kurių reakcijos į rekonstrukciją ir „2+1“ sprendimą yra labiausiai kritiškos. Tuo pačiu kampanija turi atliepti ir platesnį nacionalinį kontekstą, nes A14 projektas yra vienas iš strateginių modernios kelių infrastruktūros pavyzdžių Lietuvoje.</w:t>
      </w:r>
    </w:p>
    <w:p w14:paraId="13D9D459" w14:textId="33AFA8E8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Strateginė kampanijos logika grindžiama prielaida, kad supratimas formuoja pasitikėjimą: kai žmonės aiškiai supranta, kaip veikia „2+1“ kelias ir kokią problemą jis sprendžia, keičiasi jų požiūris į patį A14 projektą ir </w:t>
      </w:r>
      <w:r w:rsidR="00720D73" w:rsidRPr="00B07FD1">
        <w:rPr>
          <w:rFonts w:ascii="Arial" w:hAnsi="Arial" w:cs="Arial"/>
          <w:sz w:val="22"/>
          <w:szCs w:val="22"/>
        </w:rPr>
        <w:t>„</w:t>
      </w:r>
      <w:r w:rsidRPr="00B07FD1">
        <w:rPr>
          <w:rFonts w:ascii="Arial" w:hAnsi="Arial" w:cs="Arial"/>
          <w:sz w:val="22"/>
          <w:szCs w:val="22"/>
        </w:rPr>
        <w:t>Via Lietuva</w:t>
      </w:r>
      <w:r w:rsidR="00720D73" w:rsidRPr="00B07FD1">
        <w:rPr>
          <w:rFonts w:ascii="Arial" w:hAnsi="Arial" w:cs="Arial"/>
          <w:sz w:val="22"/>
          <w:szCs w:val="22"/>
        </w:rPr>
        <w:t>“</w:t>
      </w:r>
      <w:r w:rsidRPr="00B07FD1">
        <w:rPr>
          <w:rFonts w:ascii="Arial" w:hAnsi="Arial" w:cs="Arial"/>
          <w:sz w:val="22"/>
          <w:szCs w:val="22"/>
        </w:rPr>
        <w:t xml:space="preserve"> kaip infrastruktūros sprendimų įgyvendintoją.</w:t>
      </w:r>
    </w:p>
    <w:p w14:paraId="6047B7BD" w14:textId="77777777" w:rsidR="00507D78" w:rsidRPr="00B07FD1" w:rsidRDefault="00507D78" w:rsidP="00507D78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Kampanijos metu numatoma išnaudoti A14 kelio rekonstrukcijos darbų užbaigimą ir atidarymo renginį kaip vieną iš svarbiausių komunikacijos momentų, integruojant jį į bendrą edukacinės kampanijos struktūrą.</w:t>
      </w:r>
    </w:p>
    <w:p w14:paraId="301CE9F2" w14:textId="77777777" w:rsidR="00507D78" w:rsidRPr="00B07FD1" w:rsidRDefault="00507D78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</w:p>
    <w:p w14:paraId="37142FC1" w14:textId="012F196B" w:rsidR="006740D0" w:rsidRPr="00B07FD1" w:rsidRDefault="006740D0" w:rsidP="00503AC3">
      <w:pPr>
        <w:spacing w:after="120" w:line="240" w:lineRule="auto"/>
        <w:mirrorIndents/>
        <w:jc w:val="both"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Atliekant užduotį</w:t>
      </w:r>
      <w:r w:rsidR="00F67C0E" w:rsidRPr="00B07FD1">
        <w:rPr>
          <w:rFonts w:ascii="Arial" w:hAnsi="Arial" w:cs="Arial"/>
          <w:b/>
          <w:bCs/>
          <w:sz w:val="22"/>
          <w:szCs w:val="22"/>
        </w:rPr>
        <w:t>,</w:t>
      </w:r>
      <w:r w:rsidRPr="00B07FD1">
        <w:rPr>
          <w:rFonts w:ascii="Arial" w:hAnsi="Arial" w:cs="Arial"/>
          <w:b/>
          <w:bCs/>
          <w:sz w:val="22"/>
          <w:szCs w:val="22"/>
        </w:rPr>
        <w:t xml:space="preserve"> turi būti</w:t>
      </w:r>
      <w:r w:rsidR="00F67C0E" w:rsidRPr="00B07FD1">
        <w:rPr>
          <w:rFonts w:ascii="Arial" w:hAnsi="Arial" w:cs="Arial"/>
          <w:b/>
          <w:bCs/>
          <w:sz w:val="22"/>
          <w:szCs w:val="22"/>
        </w:rPr>
        <w:t xml:space="preserve"> pateikta</w:t>
      </w:r>
      <w:r w:rsidRPr="00B07FD1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2E47D81" w14:textId="77777777" w:rsidR="006740D0" w:rsidRPr="00B07FD1" w:rsidRDefault="006740D0" w:rsidP="006740D0">
      <w:pPr>
        <w:pStyle w:val="Sraopastraipa"/>
        <w:numPr>
          <w:ilvl w:val="0"/>
          <w:numId w:val="2"/>
        </w:numPr>
        <w:spacing w:after="120" w:line="240" w:lineRule="auto"/>
        <w:contextualSpacing w:val="0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Edukacinės komunikacijos kampanijos idėja, pasakojanti  apie „2+1“ kelio tipą per A14 pavyzdį;</w:t>
      </w:r>
    </w:p>
    <w:p w14:paraId="22AFB1B4" w14:textId="0E61AC5B" w:rsidR="006740D0" w:rsidRPr="00B07FD1" w:rsidRDefault="00E124C3" w:rsidP="006740D0">
      <w:pPr>
        <w:pStyle w:val="Sraopastraipa"/>
        <w:numPr>
          <w:ilvl w:val="0"/>
          <w:numId w:val="2"/>
        </w:numPr>
        <w:spacing w:after="120" w:line="240" w:lineRule="auto"/>
        <w:contextualSpacing w:val="0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Pagrindinis kampanijos šūkis ir </w:t>
      </w:r>
      <w:r w:rsidR="006740D0" w:rsidRPr="00B07FD1">
        <w:rPr>
          <w:rFonts w:ascii="Arial" w:hAnsi="Arial" w:cs="Arial"/>
          <w:sz w:val="22"/>
          <w:szCs w:val="22"/>
        </w:rPr>
        <w:t>3 komunikacijos kampanijos žinutės.</w:t>
      </w:r>
    </w:p>
    <w:p w14:paraId="49411930" w14:textId="77777777" w:rsidR="006740D0" w:rsidRPr="00B07FD1" w:rsidRDefault="006740D0" w:rsidP="006740D0">
      <w:pPr>
        <w:pStyle w:val="Sraopastraipa"/>
        <w:numPr>
          <w:ilvl w:val="0"/>
          <w:numId w:val="2"/>
        </w:numPr>
        <w:spacing w:after="120" w:line="240" w:lineRule="auto"/>
        <w:contextualSpacing w:val="0"/>
        <w:mirrorIndents/>
        <w:jc w:val="both"/>
        <w:rPr>
          <w:rFonts w:ascii="Arial" w:hAnsi="Arial" w:cs="Arial"/>
          <w:color w:val="EE0000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Pagrindinių komunikacijos kanalų ir formatų pasirinkimo logika bei jų vaidmuo kampanijoje;</w:t>
      </w:r>
    </w:p>
    <w:p w14:paraId="61701543" w14:textId="77777777" w:rsidR="006740D0" w:rsidRPr="00B07FD1" w:rsidRDefault="006740D0" w:rsidP="006740D0">
      <w:pPr>
        <w:pStyle w:val="Sraopastraipa"/>
        <w:numPr>
          <w:ilvl w:val="0"/>
          <w:numId w:val="2"/>
        </w:numPr>
        <w:spacing w:after="120" w:line="240" w:lineRule="auto"/>
        <w:contextualSpacing w:val="0"/>
        <w:mirrorIndent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7FD1">
        <w:rPr>
          <w:rFonts w:ascii="Arial" w:hAnsi="Arial" w:cs="Arial"/>
          <w:color w:val="000000" w:themeColor="text1"/>
          <w:sz w:val="22"/>
          <w:szCs w:val="22"/>
        </w:rPr>
        <w:t xml:space="preserve">7 mėnesių trukmės kampanijos etapų ir pagrindinių komunikacijos priemonių išdėstymo logika laike bei preliminarus biudžeto paskirstymo modelis (be detalizuoto media plano); taktiniame plane turi būti aiškiai identifikuojama, kiek pinigų nukeliauja agentūrai ir kiek trečiosioms šalims. </w:t>
      </w:r>
    </w:p>
    <w:p w14:paraId="38EE8DF4" w14:textId="6BC66F22" w:rsidR="006740D0" w:rsidRPr="00B07FD1" w:rsidRDefault="006740D0" w:rsidP="00224F21">
      <w:pPr>
        <w:pStyle w:val="Sraopastraipa"/>
        <w:numPr>
          <w:ilvl w:val="0"/>
          <w:numId w:val="2"/>
        </w:numPr>
        <w:spacing w:after="120" w:line="240" w:lineRule="auto"/>
        <w:contextualSpacing w:val="0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Kampanijos </w:t>
      </w:r>
      <w:proofErr w:type="spellStart"/>
      <w:r w:rsidRPr="00B07FD1">
        <w:rPr>
          <w:rFonts w:ascii="Arial" w:hAnsi="Arial" w:cs="Arial"/>
          <w:sz w:val="22"/>
          <w:szCs w:val="22"/>
        </w:rPr>
        <w:t>KPI‘s</w:t>
      </w:r>
      <w:proofErr w:type="spellEnd"/>
      <w:r w:rsidRPr="00B07FD1">
        <w:rPr>
          <w:rFonts w:ascii="Arial" w:hAnsi="Arial" w:cs="Arial"/>
          <w:sz w:val="22"/>
          <w:szCs w:val="22"/>
        </w:rPr>
        <w:t xml:space="preserve"> – kaip pamatuosime kampanijos poveikį visuomenei.</w:t>
      </w:r>
    </w:p>
    <w:p w14:paraId="58659A81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Kampanijos tikslai</w:t>
      </w:r>
    </w:p>
    <w:p w14:paraId="4CE5363E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Strateginis tikslas – didinti visuomenės supratimą ir pasitikėjimą „2+1“ kelio tipu, naudojant A14 kelią kaip pagrindinį pavyzdį.</w:t>
      </w:r>
    </w:p>
    <w:p w14:paraId="105ED5EC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Komunikacijos tikslai:</w:t>
      </w:r>
    </w:p>
    <w:p w14:paraId="214179B5" w14:textId="77777777" w:rsidR="00C13E9E" w:rsidRPr="00B07FD1" w:rsidRDefault="00C13E9E" w:rsidP="00503AC3">
      <w:pPr>
        <w:numPr>
          <w:ilvl w:val="0"/>
          <w:numId w:val="1"/>
        </w:num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papasakoti, kaip veikia „2+1“ kelias;</w:t>
      </w:r>
    </w:p>
    <w:p w14:paraId="67E6C65B" w14:textId="77777777" w:rsidR="00C13E9E" w:rsidRPr="00B07FD1" w:rsidRDefault="00C13E9E" w:rsidP="00503AC3">
      <w:pPr>
        <w:numPr>
          <w:ilvl w:val="0"/>
          <w:numId w:val="1"/>
        </w:num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parodyti jo privalumus saugumo ir patogumo aspektu;</w:t>
      </w:r>
    </w:p>
    <w:p w14:paraId="1B547457" w14:textId="77777777" w:rsidR="00C13E9E" w:rsidRPr="00B07FD1" w:rsidRDefault="00C13E9E" w:rsidP="00503AC3">
      <w:pPr>
        <w:numPr>
          <w:ilvl w:val="0"/>
          <w:numId w:val="1"/>
        </w:num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susieti „2+1“ sprendimą su realiu A14 kelio pokyčiu;</w:t>
      </w:r>
    </w:p>
    <w:p w14:paraId="244A67AF" w14:textId="66BF5381" w:rsidR="00C13E9E" w:rsidRPr="00B07FD1" w:rsidRDefault="00C13E9E" w:rsidP="00503AC3">
      <w:pPr>
        <w:numPr>
          <w:ilvl w:val="0"/>
          <w:numId w:val="1"/>
        </w:num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sukurti aiškų ir paprastą pasakojimą apie modernius kelius.</w:t>
      </w:r>
    </w:p>
    <w:p w14:paraId="55787BA4" w14:textId="77777777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Tikslinė auditorija</w:t>
      </w:r>
    </w:p>
    <w:p w14:paraId="0A2C1EF8" w14:textId="282D3D8A" w:rsidR="00C13E9E" w:rsidRPr="00B07FD1" w:rsidRDefault="00C13E9E" w:rsidP="00503A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Pirminė auditorija: kasdieniai A14 naudotojai (vietos bendruomenės ir savivaldybių gyventojai).</w:t>
      </w:r>
    </w:p>
    <w:p w14:paraId="59ACC225" w14:textId="77777777" w:rsidR="00C13E9E" w:rsidRPr="00B07FD1" w:rsidRDefault="00C13E9E" w:rsidP="00503A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Antrinė auditorija:</w:t>
      </w:r>
    </w:p>
    <w:p w14:paraId="53A0EC2B" w14:textId="77777777" w:rsidR="00C13E9E" w:rsidRPr="00B07FD1" w:rsidRDefault="00C13E9E" w:rsidP="00503AC3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Lietuvos vairuotojai ir kelių naudotojai.</w:t>
      </w:r>
    </w:p>
    <w:p w14:paraId="5F910895" w14:textId="77777777" w:rsidR="00C13E9E" w:rsidRPr="00B07FD1" w:rsidRDefault="00C13E9E" w:rsidP="00503AC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>žiniasklaida;</w:t>
      </w:r>
    </w:p>
    <w:p w14:paraId="5A032999" w14:textId="77777777" w:rsidR="00C13E9E" w:rsidRPr="00B07FD1" w:rsidRDefault="00C13E9E" w:rsidP="00503AC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7FD1">
        <w:rPr>
          <w:rFonts w:ascii="Arial" w:hAnsi="Arial" w:cs="Arial"/>
          <w:color w:val="000000" w:themeColor="text1"/>
          <w:sz w:val="22"/>
          <w:szCs w:val="22"/>
        </w:rPr>
        <w:t>nuomonės formuotojai transporto ir saugumo temomis.</w:t>
      </w:r>
    </w:p>
    <w:p w14:paraId="3FD504C7" w14:textId="77777777" w:rsidR="004C0291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Kampanijos trukmė:</w:t>
      </w:r>
      <w:r w:rsidRPr="00B07FD1">
        <w:rPr>
          <w:rFonts w:ascii="Arial" w:hAnsi="Arial" w:cs="Arial"/>
          <w:sz w:val="22"/>
          <w:szCs w:val="22"/>
        </w:rPr>
        <w:t xml:space="preserve"> </w:t>
      </w:r>
      <w:r w:rsidRPr="00B07FD1">
        <w:rPr>
          <w:rFonts w:ascii="Arial" w:hAnsi="Arial" w:cs="Arial"/>
          <w:sz w:val="22"/>
          <w:szCs w:val="22"/>
          <w:lang w:val="en-US"/>
        </w:rPr>
        <w:t>7</w:t>
      </w:r>
      <w:r w:rsidRPr="00B07FD1">
        <w:rPr>
          <w:rFonts w:ascii="Arial" w:hAnsi="Arial" w:cs="Arial"/>
          <w:sz w:val="22"/>
          <w:szCs w:val="22"/>
        </w:rPr>
        <w:t xml:space="preserve"> mėn.</w:t>
      </w:r>
    </w:p>
    <w:p w14:paraId="3B8FDD17" w14:textId="3A67EBFC" w:rsidR="00C13E9E" w:rsidRPr="00B07FD1" w:rsidRDefault="00C13E9E" w:rsidP="00503AC3">
      <w:pPr>
        <w:spacing w:after="120" w:line="240" w:lineRule="auto"/>
        <w:mirrorIndents/>
        <w:jc w:val="both"/>
        <w:rPr>
          <w:rFonts w:ascii="Arial" w:hAnsi="Arial" w:cs="Arial"/>
          <w:sz w:val="22"/>
          <w:szCs w:val="22"/>
        </w:rPr>
      </w:pPr>
      <w:r w:rsidRPr="00B07FD1">
        <w:rPr>
          <w:rFonts w:ascii="Arial" w:hAnsi="Arial" w:cs="Arial"/>
          <w:b/>
          <w:bCs/>
          <w:sz w:val="22"/>
          <w:szCs w:val="22"/>
        </w:rPr>
        <w:t>Preliminarus biudžetas:</w:t>
      </w:r>
      <w:r w:rsidRPr="00B07FD1">
        <w:rPr>
          <w:rFonts w:ascii="Arial" w:hAnsi="Arial" w:cs="Arial"/>
          <w:sz w:val="22"/>
          <w:szCs w:val="22"/>
        </w:rPr>
        <w:t xml:space="preserve"> iki 50 000 Eur (be PVM).</w:t>
      </w:r>
    </w:p>
    <w:p w14:paraId="231A931A" w14:textId="0D5854CE" w:rsidR="00C8547E" w:rsidRPr="00B07FD1" w:rsidRDefault="00C8547E" w:rsidP="00503AC3">
      <w:pPr>
        <w:spacing w:after="120" w:line="240" w:lineRule="auto"/>
        <w:mirrorIndents/>
        <w:jc w:val="both"/>
        <w:rPr>
          <w:rFonts w:ascii="Arial" w:hAnsi="Arial" w:cs="Arial"/>
          <w:b/>
          <w:bCs/>
          <w:sz w:val="22"/>
          <w:szCs w:val="22"/>
        </w:rPr>
      </w:pPr>
      <w:r w:rsidRPr="00B07FD1">
        <w:rPr>
          <w:rFonts w:ascii="Arial" w:hAnsi="Arial" w:cs="Arial"/>
          <w:sz w:val="22"/>
          <w:szCs w:val="22"/>
        </w:rPr>
        <w:t xml:space="preserve">Pateikimo formatas: 10-15 PPT skaidrių. Užduotį pristatyti turės projektų vadovas, kuris laimėjimo atveju dirbtų su PO. Pristatymui skirtas laikas – </w:t>
      </w:r>
      <w:r w:rsidR="00503AC3" w:rsidRPr="00B07FD1">
        <w:rPr>
          <w:rFonts w:ascii="Arial" w:hAnsi="Arial" w:cs="Arial"/>
          <w:sz w:val="22"/>
          <w:szCs w:val="22"/>
        </w:rPr>
        <w:t>35 min</w:t>
      </w:r>
      <w:r w:rsidR="00CF1C24" w:rsidRPr="00B07FD1">
        <w:rPr>
          <w:rFonts w:ascii="Arial" w:hAnsi="Arial" w:cs="Arial"/>
          <w:sz w:val="22"/>
          <w:szCs w:val="22"/>
        </w:rPr>
        <w:t>.</w:t>
      </w:r>
      <w:r w:rsidRPr="00B07FD1">
        <w:rPr>
          <w:rFonts w:ascii="Arial" w:hAnsi="Arial" w:cs="Arial"/>
          <w:sz w:val="22"/>
          <w:szCs w:val="22"/>
        </w:rPr>
        <w:t xml:space="preserve"> (pristatym</w:t>
      </w:r>
      <w:r w:rsidR="00CF1C24" w:rsidRPr="00B07FD1">
        <w:rPr>
          <w:rFonts w:ascii="Arial" w:hAnsi="Arial" w:cs="Arial"/>
          <w:sz w:val="22"/>
          <w:szCs w:val="22"/>
        </w:rPr>
        <w:t xml:space="preserve">as iki </w:t>
      </w:r>
      <w:r w:rsidRPr="00B07FD1">
        <w:rPr>
          <w:rFonts w:ascii="Arial" w:hAnsi="Arial" w:cs="Arial"/>
          <w:sz w:val="22"/>
          <w:szCs w:val="22"/>
        </w:rPr>
        <w:t>20 min</w:t>
      </w:r>
      <w:r w:rsidR="00CF1C24" w:rsidRPr="00B07FD1">
        <w:rPr>
          <w:rFonts w:ascii="Arial" w:hAnsi="Arial" w:cs="Arial"/>
          <w:sz w:val="22"/>
          <w:szCs w:val="22"/>
        </w:rPr>
        <w:t xml:space="preserve">., diskusija iki </w:t>
      </w:r>
      <w:r w:rsidRPr="00B07FD1">
        <w:rPr>
          <w:rFonts w:ascii="Arial" w:hAnsi="Arial" w:cs="Arial"/>
          <w:sz w:val="22"/>
          <w:szCs w:val="22"/>
        </w:rPr>
        <w:t>15 min</w:t>
      </w:r>
      <w:r w:rsidR="00CF1C24" w:rsidRPr="00B07FD1">
        <w:rPr>
          <w:rFonts w:ascii="Arial" w:hAnsi="Arial" w:cs="Arial"/>
          <w:sz w:val="22"/>
          <w:szCs w:val="22"/>
        </w:rPr>
        <w:t>.</w:t>
      </w:r>
      <w:r w:rsidRPr="00B07FD1">
        <w:rPr>
          <w:rFonts w:ascii="Arial" w:hAnsi="Arial" w:cs="Arial"/>
          <w:sz w:val="22"/>
          <w:szCs w:val="22"/>
        </w:rPr>
        <w:t>)</w:t>
      </w:r>
    </w:p>
    <w:p w14:paraId="730781B4" w14:textId="77777777" w:rsidR="005B1D3E" w:rsidRPr="00B07FD1" w:rsidRDefault="005B1D3E" w:rsidP="00503AC3">
      <w:pPr>
        <w:spacing w:after="120" w:line="240" w:lineRule="auto"/>
        <w:mirrorIndents/>
        <w:rPr>
          <w:rFonts w:ascii="Arial" w:hAnsi="Arial" w:cs="Arial"/>
          <w:sz w:val="22"/>
          <w:szCs w:val="22"/>
        </w:rPr>
      </w:pPr>
    </w:p>
    <w:p w14:paraId="2FC312D9" w14:textId="397A8E6C" w:rsidR="008E106A" w:rsidRPr="00B07FD1" w:rsidRDefault="008E106A" w:rsidP="008E106A">
      <w:pPr>
        <w:spacing w:after="120" w:line="240" w:lineRule="auto"/>
        <w:mirrorIndents/>
        <w:rPr>
          <w:rFonts w:ascii="Arial" w:hAnsi="Arial" w:cs="Arial"/>
          <w:sz w:val="22"/>
          <w:szCs w:val="22"/>
        </w:rPr>
      </w:pPr>
    </w:p>
    <w:sectPr w:rsidR="008E106A" w:rsidRPr="00B07F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2B4"/>
    <w:multiLevelType w:val="multilevel"/>
    <w:tmpl w:val="B31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824FA"/>
    <w:multiLevelType w:val="multilevel"/>
    <w:tmpl w:val="86E2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A4F0C"/>
    <w:multiLevelType w:val="multilevel"/>
    <w:tmpl w:val="7ADA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607114">
    <w:abstractNumId w:val="1"/>
  </w:num>
  <w:num w:numId="2" w16cid:durableId="354892377">
    <w:abstractNumId w:val="0"/>
  </w:num>
  <w:num w:numId="3" w16cid:durableId="157253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9E"/>
    <w:rsid w:val="000A7440"/>
    <w:rsid w:val="0012541E"/>
    <w:rsid w:val="00224F21"/>
    <w:rsid w:val="002E17E2"/>
    <w:rsid w:val="002F53D0"/>
    <w:rsid w:val="00342D12"/>
    <w:rsid w:val="003E07D5"/>
    <w:rsid w:val="003E6DE6"/>
    <w:rsid w:val="003F541C"/>
    <w:rsid w:val="00422B10"/>
    <w:rsid w:val="004C0291"/>
    <w:rsid w:val="004E1827"/>
    <w:rsid w:val="00503AC3"/>
    <w:rsid w:val="00507D78"/>
    <w:rsid w:val="0053544D"/>
    <w:rsid w:val="005B1D3E"/>
    <w:rsid w:val="005E67E9"/>
    <w:rsid w:val="005F72FB"/>
    <w:rsid w:val="006740D0"/>
    <w:rsid w:val="006B1410"/>
    <w:rsid w:val="00720D73"/>
    <w:rsid w:val="007358B9"/>
    <w:rsid w:val="0084695B"/>
    <w:rsid w:val="008E106A"/>
    <w:rsid w:val="008E595C"/>
    <w:rsid w:val="00942142"/>
    <w:rsid w:val="00B07FD1"/>
    <w:rsid w:val="00C13E9E"/>
    <w:rsid w:val="00C8547E"/>
    <w:rsid w:val="00CC52C4"/>
    <w:rsid w:val="00CF1C24"/>
    <w:rsid w:val="00DC7335"/>
    <w:rsid w:val="00E124C3"/>
    <w:rsid w:val="00E330AB"/>
    <w:rsid w:val="00EA273F"/>
    <w:rsid w:val="00F432D5"/>
    <w:rsid w:val="00F57E9E"/>
    <w:rsid w:val="00F67C0E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32F"/>
  <w15:chartTrackingRefBased/>
  <w15:docId w15:val="{E5841590-CC7A-4C83-98EB-02639E2A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3E9E"/>
  </w:style>
  <w:style w:type="paragraph" w:styleId="Antrat1">
    <w:name w:val="heading 1"/>
    <w:basedOn w:val="prastasis"/>
    <w:next w:val="prastasis"/>
    <w:link w:val="Antrat1Diagrama"/>
    <w:uiPriority w:val="9"/>
    <w:qFormat/>
    <w:rsid w:val="00C1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3E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3E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3E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3E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3E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3E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3E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3E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3E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3E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3E9E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59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59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59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59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59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F18A-2E4C-4DDE-A9E2-165A75B7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3351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Pušinskaitė</dc:creator>
  <cp:keywords/>
  <dc:description/>
  <cp:lastModifiedBy>Diana Pašluostienė</cp:lastModifiedBy>
  <cp:revision>11</cp:revision>
  <dcterms:created xsi:type="dcterms:W3CDTF">2026-02-03T12:06:00Z</dcterms:created>
  <dcterms:modified xsi:type="dcterms:W3CDTF">2026-03-02T11:40:00Z</dcterms:modified>
</cp:coreProperties>
</file>