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AB6C71F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FB040B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0EA42AF3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="00FB040B" w:rsidRPr="00FB040B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FB040B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FB040B" w:rsidRPr="00FB040B">
        <w:rPr>
          <w:rFonts w:ascii="Arial" w:hAnsi="Arial" w:cs="Arial"/>
          <w:b/>
          <w:sz w:val="22"/>
          <w:szCs w:val="22"/>
        </w:rPr>
        <w:t xml:space="preserve">(2026-IGN-5) </w:t>
      </w:r>
      <w:proofErr w:type="spellStart"/>
      <w:r w:rsidR="00FB040B" w:rsidRPr="00FB040B">
        <w:rPr>
          <w:rFonts w:ascii="Arial" w:hAnsi="Arial" w:cs="Arial"/>
          <w:b/>
          <w:sz w:val="22"/>
          <w:szCs w:val="22"/>
        </w:rPr>
        <w:t>Ikiteisminis</w:t>
      </w:r>
      <w:proofErr w:type="spellEnd"/>
      <w:r w:rsidR="00FB040B" w:rsidRPr="00FB04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040B" w:rsidRPr="00FB040B">
        <w:rPr>
          <w:rFonts w:ascii="Arial" w:hAnsi="Arial" w:cs="Arial"/>
          <w:b/>
          <w:sz w:val="22"/>
          <w:szCs w:val="22"/>
        </w:rPr>
        <w:t>ir</w:t>
      </w:r>
      <w:proofErr w:type="spellEnd"/>
      <w:r w:rsidR="00FB040B" w:rsidRPr="00FB04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040B" w:rsidRPr="00FB040B">
        <w:rPr>
          <w:rFonts w:ascii="Arial" w:hAnsi="Arial" w:cs="Arial"/>
          <w:b/>
          <w:sz w:val="22"/>
          <w:szCs w:val="22"/>
        </w:rPr>
        <w:t>teisminis</w:t>
      </w:r>
      <w:proofErr w:type="spellEnd"/>
      <w:r w:rsidR="00FB040B" w:rsidRPr="00FB04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040B" w:rsidRPr="00FB040B">
        <w:rPr>
          <w:rFonts w:ascii="Arial" w:hAnsi="Arial" w:cs="Arial"/>
          <w:b/>
          <w:sz w:val="22"/>
          <w:szCs w:val="22"/>
        </w:rPr>
        <w:t>skolų</w:t>
      </w:r>
      <w:proofErr w:type="spellEnd"/>
      <w:r w:rsidR="00FB040B" w:rsidRPr="00FB040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B040B" w:rsidRPr="00FB040B">
        <w:rPr>
          <w:rFonts w:ascii="Arial" w:hAnsi="Arial" w:cs="Arial"/>
          <w:b/>
          <w:sz w:val="22"/>
          <w:szCs w:val="22"/>
        </w:rPr>
        <w:t>išieškojimas</w:t>
      </w:r>
      <w:proofErr w:type="spellEnd"/>
      <w:r w:rsidR="003C4D05" w:rsidRPr="00FB040B">
        <w:rPr>
          <w:rStyle w:val="normaltextrun"/>
          <w:rFonts w:ascii="Arial" w:hAnsi="Arial" w:cs="Arial"/>
          <w:b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="003C4D05" w:rsidRPr="00FB04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="003C4D05" w:rsidRPr="00FB040B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4536"/>
      </w:tblGrid>
      <w:tr w:rsidR="00FB040B" w:rsidRPr="00B83A03" w14:paraId="709AB859" w14:textId="63F98D4B" w:rsidTr="00EE7502">
        <w:tc>
          <w:tcPr>
            <w:tcW w:w="704" w:type="dxa"/>
            <w:shd w:val="clear" w:color="auto" w:fill="DBE5F1"/>
            <w:vAlign w:val="center"/>
          </w:tcPr>
          <w:p w14:paraId="5FCB7AFA" w14:textId="77777777" w:rsidR="00FB040B" w:rsidRPr="00B83A03" w:rsidRDefault="00FB040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1C39BD09" w14:textId="5AEBA200" w:rsidR="00FB040B" w:rsidRPr="00B83A03" w:rsidRDefault="00FB040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Nuoroda į pirkimo dokumentų punktą</w:t>
            </w:r>
          </w:p>
        </w:tc>
        <w:tc>
          <w:tcPr>
            <w:tcW w:w="3402" w:type="dxa"/>
            <w:shd w:val="clear" w:color="auto" w:fill="DBE5F1"/>
            <w:vAlign w:val="center"/>
          </w:tcPr>
          <w:p w14:paraId="6E15D18B" w14:textId="77777777" w:rsidR="00FB040B" w:rsidRPr="00B83A03" w:rsidRDefault="00FB040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4536" w:type="dxa"/>
            <w:shd w:val="clear" w:color="auto" w:fill="DBE5F1"/>
            <w:vAlign w:val="center"/>
          </w:tcPr>
          <w:p w14:paraId="77AE5900" w14:textId="4451288D" w:rsidR="00FB040B" w:rsidRPr="00B83A03" w:rsidRDefault="00FB040B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FB040B" w:rsidRPr="00B83A03" w14:paraId="1C3762EB" w14:textId="6DC4241A" w:rsidTr="00EE7502">
        <w:tc>
          <w:tcPr>
            <w:tcW w:w="704" w:type="dxa"/>
          </w:tcPr>
          <w:p w14:paraId="3E4DE398" w14:textId="7F52A3F3" w:rsidR="00FB040B" w:rsidRPr="00B83A03" w:rsidRDefault="00FB040B" w:rsidP="00FB04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t>.</w:t>
            </w:r>
          </w:p>
        </w:tc>
        <w:tc>
          <w:tcPr>
            <w:tcW w:w="1701" w:type="dxa"/>
          </w:tcPr>
          <w:p w14:paraId="4D210301" w14:textId="4A0D5874" w:rsidR="00FB040B" w:rsidRPr="00FB040B" w:rsidRDefault="00FB040B" w:rsidP="00FB040B">
            <w:pPr>
              <w:jc w:val="both"/>
              <w:rPr>
                <w:rFonts w:ascii="Arial" w:hAnsi="Arial" w:cs="Arial"/>
              </w:rPr>
            </w:pPr>
            <w:r w:rsidRPr="00FB040B">
              <w:rPr>
                <w:rFonts w:ascii="Arial" w:hAnsi="Arial" w:cs="Arial"/>
              </w:rPr>
              <w:t>2.6.1. Pasiūlymo kaina ir 2.5. Paslaugų teikimo sutarties SD 2.1 punktas</w:t>
            </w:r>
          </w:p>
        </w:tc>
        <w:tc>
          <w:tcPr>
            <w:tcW w:w="3402" w:type="dxa"/>
          </w:tcPr>
          <w:p w14:paraId="7D072870" w14:textId="427C3E29" w:rsidR="00FB040B" w:rsidRPr="00FB040B" w:rsidRDefault="00FB040B" w:rsidP="00FB040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B040B">
              <w:rPr>
                <w:rFonts w:ascii="Arial" w:hAnsi="Arial" w:cs="Arial"/>
              </w:rPr>
              <w:t>Patikslinkite prašau, ar pasiūlymo kaina yra vertinama kaip sutarties kaina, t.</w:t>
            </w:r>
            <w:r>
              <w:rPr>
                <w:rFonts w:ascii="Arial" w:hAnsi="Arial" w:cs="Arial"/>
              </w:rPr>
              <w:t xml:space="preserve"> </w:t>
            </w:r>
            <w:r w:rsidRPr="00FB040B">
              <w:rPr>
                <w:rFonts w:ascii="Arial" w:hAnsi="Arial" w:cs="Arial"/>
              </w:rPr>
              <w:t xml:space="preserve">y. bendra pasiūlymo kaina negali viršyti SD 2.1. nurodytos sumos? </w:t>
            </w:r>
          </w:p>
          <w:p w14:paraId="16A749C6" w14:textId="77777777" w:rsidR="00FB040B" w:rsidRPr="00FB040B" w:rsidRDefault="00FB040B" w:rsidP="00FB040B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14:paraId="067D0D77" w14:textId="2AC5F8CA" w:rsidR="00FB040B" w:rsidRPr="00FB040B" w:rsidRDefault="00FB040B" w:rsidP="00FB040B">
            <w:pPr>
              <w:jc w:val="both"/>
              <w:rPr>
                <w:rFonts w:ascii="Arial" w:hAnsi="Arial" w:cs="Arial"/>
              </w:rPr>
            </w:pPr>
            <w:r w:rsidRPr="00FB040B">
              <w:rPr>
                <w:rFonts w:ascii="Arial" w:hAnsi="Arial" w:cs="Arial"/>
              </w:rPr>
              <w:t xml:space="preserve">Klausiame, kadangi yra lyginami du įverčiai: mokestis taikomas Jūsų klientui ikiteisminiame išieškojime, kurio faktinis surinkimas priklauso nuo skolos išieškojimo bei asmens sumokėjimo bei Jūsų kaip Perkančiosios organizacijos tiesioginių sąnaudų vykdant teisminį išieškojimą. </w:t>
            </w:r>
          </w:p>
        </w:tc>
        <w:tc>
          <w:tcPr>
            <w:tcW w:w="4536" w:type="dxa"/>
          </w:tcPr>
          <w:p w14:paraId="258721F8" w14:textId="570BAD04" w:rsidR="00FB040B" w:rsidRDefault="00FB040B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/>
              </w:rPr>
            </w:pPr>
            <w:r w:rsidRPr="00FB040B">
              <w:rPr>
                <w:rFonts w:ascii="Arial" w:hAnsi="Arial" w:cs="Arial"/>
              </w:rPr>
              <w:t>Vadovaujantis Speciali</w:t>
            </w:r>
            <w:r>
              <w:rPr>
                <w:rFonts w:ascii="Arial" w:hAnsi="Arial" w:cs="Arial"/>
              </w:rPr>
              <w:t>ųjų</w:t>
            </w:r>
            <w:r w:rsidRPr="00FB040B">
              <w:rPr>
                <w:rFonts w:ascii="Arial" w:hAnsi="Arial" w:cs="Arial"/>
              </w:rPr>
              <w:t xml:space="preserve"> pirkimo sąlygų 18</w:t>
            </w:r>
            <w:r w:rsidR="00497384">
              <w:rPr>
                <w:rFonts w:ascii="Arial" w:hAnsi="Arial" w:cs="Arial"/>
              </w:rPr>
              <w:t> </w:t>
            </w:r>
            <w:r w:rsidRPr="00FB040B">
              <w:rPr>
                <w:rFonts w:ascii="Arial" w:hAnsi="Arial" w:cs="Arial"/>
              </w:rPr>
              <w:t>p.</w:t>
            </w:r>
            <w:r w:rsidR="00497384">
              <w:rPr>
                <w:rFonts w:ascii="Arial" w:hAnsi="Arial" w:cs="Arial"/>
              </w:rPr>
              <w:t>,</w:t>
            </w:r>
            <w:r w:rsidRPr="00FB040B">
              <w:rPr>
                <w:rFonts w:ascii="Arial" w:hAnsi="Arial" w:cs="Arial"/>
              </w:rPr>
              <w:t xml:space="preserve"> </w:t>
            </w:r>
            <w:r w:rsidR="00497384">
              <w:rPr>
                <w:rFonts w:ascii="Arial" w:hAnsi="Arial" w:cs="Arial"/>
                <w:bCs/>
              </w:rPr>
              <w:t>s</w:t>
            </w:r>
            <w:r w:rsidR="00497384" w:rsidRPr="00FB040B">
              <w:rPr>
                <w:rFonts w:ascii="Arial" w:hAnsi="Arial" w:cs="Arial"/>
                <w:bCs/>
              </w:rPr>
              <w:t xml:space="preserve">u </w:t>
            </w:r>
            <w:r w:rsidRPr="00FB040B">
              <w:rPr>
                <w:rFonts w:ascii="Arial" w:hAnsi="Arial" w:cs="Arial"/>
                <w:bCs/>
              </w:rPr>
              <w:t>laimėjusiu tiekėju Sutartis sudaroma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B040B">
              <w:rPr>
                <w:rFonts w:ascii="Arial" w:hAnsi="Arial" w:cs="Arial"/>
                <w:bCs/>
              </w:rPr>
              <w:t xml:space="preserve">maksimaliai galimai Sutarties vertei – </w:t>
            </w:r>
            <w:r w:rsidR="00B27643">
              <w:rPr>
                <w:rFonts w:ascii="Arial" w:hAnsi="Arial" w:cs="Arial"/>
                <w:bCs/>
              </w:rPr>
              <w:t xml:space="preserve"> </w:t>
            </w:r>
            <w:r w:rsidRPr="00FB040B">
              <w:rPr>
                <w:rFonts w:ascii="Arial" w:hAnsi="Arial" w:cs="Arial"/>
                <w:b/>
              </w:rPr>
              <w:t>190</w:t>
            </w:r>
            <w:r w:rsidR="00497384">
              <w:rPr>
                <w:rFonts w:ascii="Arial" w:hAnsi="Arial" w:cs="Arial"/>
                <w:b/>
              </w:rPr>
              <w:t xml:space="preserve"> </w:t>
            </w:r>
            <w:r w:rsidRPr="00FB040B">
              <w:rPr>
                <w:rFonts w:ascii="Arial" w:hAnsi="Arial" w:cs="Arial"/>
                <w:b/>
              </w:rPr>
              <w:t>000,00 EUR be PVM.</w:t>
            </w:r>
          </w:p>
          <w:p w14:paraId="3DF6B407" w14:textId="77777777" w:rsidR="00FB040B" w:rsidRDefault="00FB040B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/>
              </w:rPr>
            </w:pPr>
          </w:p>
          <w:p w14:paraId="5F19B366" w14:textId="37C5AD19" w:rsidR="00FB040B" w:rsidRDefault="00FB040B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</w:rPr>
            </w:pPr>
            <w:r w:rsidRPr="00FB040B">
              <w:rPr>
                <w:rFonts w:ascii="Arial" w:hAnsi="Arial" w:cs="Arial"/>
                <w:bCs/>
              </w:rPr>
              <w:t>Pasiūlymo kaina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27643">
              <w:rPr>
                <w:rFonts w:ascii="Arial" w:hAnsi="Arial" w:cs="Arial"/>
                <w:bCs/>
              </w:rPr>
              <w:t xml:space="preserve">bus </w:t>
            </w:r>
            <w:r>
              <w:rPr>
                <w:rFonts w:ascii="Arial" w:hAnsi="Arial" w:cs="Arial"/>
                <w:bCs/>
              </w:rPr>
              <w:t>naudojama tik Pasiūlymų vertinimui pagal</w:t>
            </w:r>
            <w:r>
              <w:t xml:space="preserve"> </w:t>
            </w:r>
            <w:r w:rsidRPr="00FB040B">
              <w:rPr>
                <w:rFonts w:ascii="Arial" w:hAnsi="Arial" w:cs="Arial"/>
                <w:bCs/>
              </w:rPr>
              <w:t>Pasiūlymų ekonominio naudingumo vertinimo metodik</w:t>
            </w:r>
            <w:r>
              <w:rPr>
                <w:rFonts w:ascii="Arial" w:hAnsi="Arial" w:cs="Arial"/>
                <w:bCs/>
              </w:rPr>
              <w:t>ą</w:t>
            </w:r>
            <w:r w:rsidRPr="00FB040B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</w:t>
            </w:r>
            <w:r w:rsidRPr="00FB040B">
              <w:rPr>
                <w:rFonts w:ascii="Arial" w:hAnsi="Arial" w:cs="Arial"/>
                <w:bCs/>
              </w:rPr>
              <w:t>SPS pried</w:t>
            </w:r>
            <w:r>
              <w:rPr>
                <w:rFonts w:ascii="Arial" w:hAnsi="Arial" w:cs="Arial"/>
                <w:bCs/>
              </w:rPr>
              <w:t>as</w:t>
            </w:r>
            <w:r w:rsidRPr="00FB040B">
              <w:rPr>
                <w:rFonts w:ascii="Arial" w:hAnsi="Arial" w:cs="Arial"/>
                <w:bCs/>
              </w:rPr>
              <w:t xml:space="preserve"> „Ekonominio naudingumo vertinimo metodika“</w:t>
            </w:r>
            <w:r>
              <w:rPr>
                <w:rFonts w:ascii="Arial" w:hAnsi="Arial" w:cs="Arial"/>
                <w:bCs/>
              </w:rPr>
              <w:t xml:space="preserve">) t. y. Pasiūlymo kaina </w:t>
            </w:r>
            <w:r w:rsidR="00B27643">
              <w:rPr>
                <w:rFonts w:ascii="Arial" w:hAnsi="Arial" w:cs="Arial"/>
                <w:bCs/>
              </w:rPr>
              <w:t>gali viršyti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27643">
              <w:rPr>
                <w:rFonts w:ascii="Arial" w:hAnsi="Arial" w:cs="Arial"/>
                <w:bCs/>
              </w:rPr>
              <w:t>nurodytą</w:t>
            </w:r>
            <w:r>
              <w:rPr>
                <w:rFonts w:ascii="Arial" w:hAnsi="Arial" w:cs="Arial"/>
                <w:bCs/>
              </w:rPr>
              <w:t xml:space="preserve"> Sutarties kain</w:t>
            </w:r>
            <w:r w:rsidR="00B27643">
              <w:rPr>
                <w:rFonts w:ascii="Arial" w:hAnsi="Arial" w:cs="Arial"/>
                <w:bCs/>
              </w:rPr>
              <w:t>ą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14:paraId="547174B9" w14:textId="77777777" w:rsidR="00B27643" w:rsidRDefault="00B27643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</w:rPr>
            </w:pPr>
          </w:p>
          <w:p w14:paraId="469DB574" w14:textId="39DC19A6" w:rsidR="00B27643" w:rsidRDefault="00497384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Prašome a</w:t>
            </w:r>
            <w:r w:rsidR="00B27643">
              <w:rPr>
                <w:rFonts w:ascii="Arial" w:hAnsi="Arial" w:cs="Arial"/>
                <w:bCs/>
              </w:rPr>
              <w:t>tkreip</w:t>
            </w:r>
            <w:r>
              <w:rPr>
                <w:rFonts w:ascii="Arial" w:hAnsi="Arial" w:cs="Arial"/>
                <w:bCs/>
              </w:rPr>
              <w:t>ti</w:t>
            </w:r>
            <w:r w:rsidR="00B27643">
              <w:rPr>
                <w:rFonts w:ascii="Arial" w:hAnsi="Arial" w:cs="Arial"/>
                <w:bCs/>
              </w:rPr>
              <w:t xml:space="preserve"> dėmesį į nustatytus per didelius, nepriimtinus įkainius „</w:t>
            </w:r>
            <w:r w:rsidR="00B27643" w:rsidRPr="00F83787">
              <w:rPr>
                <w:rFonts w:ascii="Arial" w:hAnsi="Arial" w:cs="Arial"/>
                <w:bCs/>
                <w:i/>
                <w:iCs/>
              </w:rPr>
              <w:t>Pasiūlymo kaina</w:t>
            </w:r>
            <w:r w:rsidR="00B27643">
              <w:rPr>
                <w:rFonts w:ascii="Arial" w:hAnsi="Arial" w:cs="Arial"/>
                <w:bCs/>
              </w:rPr>
              <w:t xml:space="preserve">“ </w:t>
            </w:r>
            <w:proofErr w:type="spellStart"/>
            <w:r w:rsidR="00B27643">
              <w:rPr>
                <w:rFonts w:ascii="Arial" w:hAnsi="Arial" w:cs="Arial"/>
                <w:bCs/>
              </w:rPr>
              <w:t>excel</w:t>
            </w:r>
            <w:proofErr w:type="spellEnd"/>
            <w:r w:rsidR="00B2764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dokumente. J</w:t>
            </w:r>
            <w:r w:rsidR="00B27643" w:rsidRPr="00B27643">
              <w:rPr>
                <w:rFonts w:ascii="Arial" w:hAnsi="Arial" w:cs="Arial"/>
                <w:bCs/>
              </w:rPr>
              <w:t xml:space="preserve">eigu Tiekėjo bent vienas siūlomas įkainis </w:t>
            </w:r>
            <w:r w:rsidR="00B27643">
              <w:rPr>
                <w:rFonts w:ascii="Arial" w:hAnsi="Arial" w:cs="Arial"/>
                <w:bCs/>
              </w:rPr>
              <w:t>bus</w:t>
            </w:r>
            <w:r w:rsidR="00B27643" w:rsidRPr="00B27643">
              <w:rPr>
                <w:rFonts w:ascii="Arial" w:hAnsi="Arial" w:cs="Arial"/>
                <w:bCs/>
              </w:rPr>
              <w:t xml:space="preserve"> didesnis nei nurodyta šiame </w:t>
            </w:r>
            <w:r w:rsidR="00B27643">
              <w:rPr>
                <w:rFonts w:ascii="Arial" w:hAnsi="Arial" w:cs="Arial"/>
                <w:bCs/>
              </w:rPr>
              <w:t>fail</w:t>
            </w:r>
            <w:r w:rsidR="00B27643" w:rsidRPr="00B27643">
              <w:rPr>
                <w:rFonts w:ascii="Arial" w:hAnsi="Arial" w:cs="Arial"/>
                <w:bCs/>
              </w:rPr>
              <w:t xml:space="preserve">e, </w:t>
            </w:r>
            <w:r w:rsidR="00B27643">
              <w:rPr>
                <w:rFonts w:ascii="Arial" w:hAnsi="Arial" w:cs="Arial"/>
                <w:bCs/>
              </w:rPr>
              <w:t xml:space="preserve">bus </w:t>
            </w:r>
            <w:r w:rsidR="00B27643" w:rsidRPr="00B27643">
              <w:rPr>
                <w:rFonts w:ascii="Arial" w:hAnsi="Arial" w:cs="Arial"/>
                <w:bCs/>
              </w:rPr>
              <w:t>laikoma, kad tokio Tiekėjo Galutinis pasiūlymas neatitinka Pirkimo dokumentuose nustatytų reikalavimų ir bus atmetamas vadovaujantis Bendrųjų pirkimo sąlygų 50.1</w:t>
            </w:r>
            <w:r w:rsidR="00417F5F">
              <w:rPr>
                <w:rFonts w:ascii="Arial" w:hAnsi="Arial" w:cs="Arial"/>
                <w:bCs/>
              </w:rPr>
              <w:t xml:space="preserve"> punkto</w:t>
            </w:r>
            <w:r w:rsidR="00B27643" w:rsidRPr="00B27643">
              <w:rPr>
                <w:rFonts w:ascii="Arial" w:hAnsi="Arial" w:cs="Arial"/>
                <w:bCs/>
              </w:rPr>
              <w:t xml:space="preserve"> c) papunkčiu.</w:t>
            </w:r>
          </w:p>
          <w:p w14:paraId="5DB1975D" w14:textId="77777777" w:rsidR="00EE7502" w:rsidRDefault="00EE7502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</w:rPr>
            </w:pPr>
          </w:p>
          <w:p w14:paraId="18A9F169" w14:textId="4BD0D97C" w:rsidR="00EE7502" w:rsidRPr="00FB040B" w:rsidRDefault="00EE7502" w:rsidP="00FB040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Taip pat atkreipkite dėmesį į </w:t>
            </w:r>
            <w:r w:rsidR="00225D93">
              <w:rPr>
                <w:rFonts w:ascii="Arial" w:hAnsi="Arial" w:cs="Arial"/>
                <w:bCs/>
              </w:rPr>
              <w:t xml:space="preserve">aukščiau paminėto dokumento </w:t>
            </w:r>
            <w:r>
              <w:rPr>
                <w:rFonts w:ascii="Arial" w:hAnsi="Arial" w:cs="Arial"/>
                <w:bCs/>
              </w:rPr>
              <w:t>antrą išnašą</w:t>
            </w:r>
            <w:r w:rsidR="00417F5F">
              <w:rPr>
                <w:rFonts w:ascii="Arial" w:hAnsi="Arial" w:cs="Arial"/>
                <w:bCs/>
              </w:rPr>
              <w:t xml:space="preserve"> </w:t>
            </w:r>
            <w:r w:rsidR="00417F5F" w:rsidRPr="00F83787">
              <w:rPr>
                <w:rFonts w:ascii="Arial" w:hAnsi="Arial" w:cs="Arial"/>
                <w:bCs/>
                <w:i/>
                <w:iCs/>
              </w:rPr>
              <w:t>„</w:t>
            </w:r>
            <w:r w:rsidRPr="00F83787">
              <w:rPr>
                <w:rFonts w:ascii="Arial" w:hAnsi="Arial" w:cs="Arial"/>
                <w:bCs/>
                <w:i/>
                <w:iCs/>
              </w:rPr>
              <w:t xml:space="preserve">** Skolos administravimo mokestį (už </w:t>
            </w:r>
            <w:proofErr w:type="spellStart"/>
            <w:r w:rsidRPr="00F83787">
              <w:rPr>
                <w:rFonts w:ascii="Arial" w:hAnsi="Arial" w:cs="Arial"/>
                <w:bCs/>
                <w:i/>
                <w:iCs/>
              </w:rPr>
              <w:t>ikiteisiminio</w:t>
            </w:r>
            <w:proofErr w:type="spellEnd"/>
            <w:r w:rsidRPr="00F83787">
              <w:rPr>
                <w:rFonts w:ascii="Arial" w:hAnsi="Arial" w:cs="Arial"/>
                <w:bCs/>
                <w:i/>
                <w:iCs/>
              </w:rPr>
              <w:t xml:space="preserve"> skolų išieškojimo paslaugą) moka Skolininkas į Skolą administruojančios įmonės sąskaitą, UAB "</w:t>
            </w:r>
            <w:proofErr w:type="spellStart"/>
            <w:r w:rsidRPr="00F83787">
              <w:rPr>
                <w:rFonts w:ascii="Arial" w:hAnsi="Arial" w:cs="Arial"/>
                <w:bCs/>
                <w:i/>
                <w:iCs/>
              </w:rPr>
              <w:t>Ignitis</w:t>
            </w:r>
            <w:proofErr w:type="spellEnd"/>
            <w:r w:rsidRPr="00F83787">
              <w:rPr>
                <w:rFonts w:ascii="Arial" w:hAnsi="Arial" w:cs="Arial"/>
                <w:bCs/>
                <w:i/>
                <w:iCs/>
              </w:rPr>
              <w:t xml:space="preserve">" už šias paslaugas neapmoka, tačiau Paslaugų teikėjo nurodytas </w:t>
            </w:r>
            <w:proofErr w:type="spellStart"/>
            <w:r w:rsidRPr="00F83787">
              <w:rPr>
                <w:rFonts w:ascii="Arial" w:hAnsi="Arial" w:cs="Arial"/>
                <w:bCs/>
                <w:i/>
                <w:iCs/>
              </w:rPr>
              <w:t>ikiteisiminio</w:t>
            </w:r>
            <w:proofErr w:type="spellEnd"/>
            <w:r w:rsidRPr="00F83787">
              <w:rPr>
                <w:rFonts w:ascii="Arial" w:hAnsi="Arial" w:cs="Arial"/>
                <w:bCs/>
                <w:i/>
                <w:iCs/>
              </w:rPr>
              <w:t xml:space="preserve"> skolų išieškojimo paslaugos įkainis įeina į Pasiūlymų vertinimą.</w:t>
            </w:r>
            <w:r w:rsidR="00417F5F">
              <w:rPr>
                <w:rFonts w:ascii="Arial" w:hAnsi="Arial" w:cs="Arial"/>
                <w:bCs/>
              </w:rPr>
              <w:t>“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22E645F" w:rsidR="004E1453" w:rsidRPr="00B83A03" w:rsidRDefault="00000000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FB040B">
            <w:rPr>
              <w:rFonts w:ascii="Arial" w:hAnsi="Arial" w:cs="Arial"/>
              <w:bCs/>
              <w:sz w:val="22"/>
              <w:szCs w:val="22"/>
            </w:rPr>
            <w:t>Strateginių pirkimų projektų vadovas Mindaugas Brusokas, Mob. +370 655 09771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FB04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41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1A65" w14:textId="77777777" w:rsidR="005503FC" w:rsidRDefault="005503FC" w:rsidP="000C042A">
      <w:r>
        <w:separator/>
      </w:r>
    </w:p>
  </w:endnote>
  <w:endnote w:type="continuationSeparator" w:id="0">
    <w:p w14:paraId="2D407086" w14:textId="77777777" w:rsidR="005503FC" w:rsidRDefault="005503FC" w:rsidP="000C042A">
      <w:r>
        <w:continuationSeparator/>
      </w:r>
    </w:p>
  </w:endnote>
  <w:endnote w:type="continuationNotice" w:id="1">
    <w:p w14:paraId="0246166B" w14:textId="77777777" w:rsidR="005503FC" w:rsidRDefault="00550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BC08" w14:textId="77777777" w:rsidR="005503FC" w:rsidRDefault="005503FC" w:rsidP="000C042A">
      <w:r>
        <w:separator/>
      </w:r>
    </w:p>
  </w:footnote>
  <w:footnote w:type="continuationSeparator" w:id="0">
    <w:p w14:paraId="37D9880B" w14:textId="77777777" w:rsidR="005503FC" w:rsidRDefault="005503FC" w:rsidP="000C042A">
      <w:r>
        <w:continuationSeparator/>
      </w:r>
    </w:p>
  </w:footnote>
  <w:footnote w:type="continuationNotice" w:id="1">
    <w:p w14:paraId="7D7C9C94" w14:textId="77777777" w:rsidR="005503FC" w:rsidRDefault="00550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00000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35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948980357" name="Picture 948980357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0862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17CA1"/>
    <w:rsid w:val="0022365E"/>
    <w:rsid w:val="00225D93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45F5A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665"/>
    <w:rsid w:val="003C4D05"/>
    <w:rsid w:val="003C600E"/>
    <w:rsid w:val="003D5661"/>
    <w:rsid w:val="003E4EB5"/>
    <w:rsid w:val="003E6058"/>
    <w:rsid w:val="00407A9B"/>
    <w:rsid w:val="00411E1A"/>
    <w:rsid w:val="00417F5F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97384"/>
    <w:rsid w:val="004B468B"/>
    <w:rsid w:val="004C7082"/>
    <w:rsid w:val="004E1453"/>
    <w:rsid w:val="004E2DA9"/>
    <w:rsid w:val="004F5439"/>
    <w:rsid w:val="0050154F"/>
    <w:rsid w:val="005503FC"/>
    <w:rsid w:val="005614FE"/>
    <w:rsid w:val="00597847"/>
    <w:rsid w:val="005A173D"/>
    <w:rsid w:val="005A377C"/>
    <w:rsid w:val="005B18C2"/>
    <w:rsid w:val="005C04DE"/>
    <w:rsid w:val="005E7155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1C10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0453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1A56"/>
    <w:rsid w:val="00A031E9"/>
    <w:rsid w:val="00A11CB1"/>
    <w:rsid w:val="00A121CB"/>
    <w:rsid w:val="00A12C14"/>
    <w:rsid w:val="00A13F9A"/>
    <w:rsid w:val="00A15095"/>
    <w:rsid w:val="00A228D5"/>
    <w:rsid w:val="00A239FD"/>
    <w:rsid w:val="00A26093"/>
    <w:rsid w:val="00A30DC2"/>
    <w:rsid w:val="00A40EA9"/>
    <w:rsid w:val="00A45D75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18A1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27643"/>
    <w:rsid w:val="00B3030F"/>
    <w:rsid w:val="00B47B87"/>
    <w:rsid w:val="00B72E22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449AA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96745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E7502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4A7F"/>
    <w:rsid w:val="00F77462"/>
    <w:rsid w:val="00F8345A"/>
    <w:rsid w:val="00F83787"/>
    <w:rsid w:val="00F90166"/>
    <w:rsid w:val="00F946E1"/>
    <w:rsid w:val="00FA032A"/>
    <w:rsid w:val="00FA06EF"/>
    <w:rsid w:val="00FA1E4A"/>
    <w:rsid w:val="00FA6057"/>
    <w:rsid w:val="00FB040B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431291"/>
    <w:rsid w:val="006057A0"/>
    <w:rsid w:val="00640436"/>
    <w:rsid w:val="00647C94"/>
    <w:rsid w:val="0086140A"/>
    <w:rsid w:val="00934ADC"/>
    <w:rsid w:val="00A031E9"/>
    <w:rsid w:val="00A059B9"/>
    <w:rsid w:val="00A13F9A"/>
    <w:rsid w:val="00A560A3"/>
    <w:rsid w:val="00AB18A1"/>
    <w:rsid w:val="00AE4942"/>
    <w:rsid w:val="00B00D27"/>
    <w:rsid w:val="00B043FF"/>
    <w:rsid w:val="00B34250"/>
    <w:rsid w:val="00B6765C"/>
    <w:rsid w:val="00BA45EA"/>
    <w:rsid w:val="00BE2BBC"/>
    <w:rsid w:val="00C449AA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90823"/>
    <w:rsid w:val="00ED4882"/>
    <w:rsid w:val="00ED72F9"/>
    <w:rsid w:val="00F1442A"/>
    <w:rsid w:val="00F54070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8862-3d5a-4b5b-a8ee-b1270852f994" xsi:nil="true"/>
    <lcf76f155ced4ddcb4097134ff3c332f xmlns="89409b94-1907-4fc7-8946-cd57e5ab81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2F99E17CBC54AAC600AEB1019B700" ma:contentTypeVersion="10" ma:contentTypeDescription="Create a new document." ma:contentTypeScope="" ma:versionID="67dbe8f2bff60964c7afafdd05d6ac3e">
  <xsd:schema xmlns:xsd="http://www.w3.org/2001/XMLSchema" xmlns:xs="http://www.w3.org/2001/XMLSchema" xmlns:p="http://schemas.microsoft.com/office/2006/metadata/properties" xmlns:ns2="89409b94-1907-4fc7-8946-cd57e5ab81d1" xmlns:ns3="3db48862-3d5a-4b5b-a8ee-b1270852f994" targetNamespace="http://schemas.microsoft.com/office/2006/metadata/properties" ma:root="true" ma:fieldsID="6027adb189902749c2313a737b0043d2" ns2:_="" ns3:_="">
    <xsd:import namespace="89409b94-1907-4fc7-8946-cd57e5ab81d1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9b94-1907-4fc7-8946-cd57e5ab8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db48862-3d5a-4b5b-a8ee-b1270852f994"/>
    <ds:schemaRef ds:uri="89409b94-1907-4fc7-8946-cd57e5ab81d1"/>
  </ds:schemaRefs>
</ds:datastoreItem>
</file>

<file path=customXml/itemProps2.xml><?xml version="1.0" encoding="utf-8"?>
<ds:datastoreItem xmlns:ds="http://schemas.openxmlformats.org/officeDocument/2006/customXml" ds:itemID="{E49DCBAB-6D38-4AF0-88CC-17D975FA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09b94-1907-4fc7-8946-cd57e5ab81d1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http://www.ignitisgrupe.lt/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Mindaugas Brusokas</cp:lastModifiedBy>
  <cp:revision>2</cp:revision>
  <dcterms:created xsi:type="dcterms:W3CDTF">2026-03-04T13:38:00Z</dcterms:created>
  <dcterms:modified xsi:type="dcterms:W3CDTF">2026-03-04T13:38:00Z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0x0101008D62F99E17CBC54AAC600AEB1019B700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