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C8780" w14:textId="20D881BC" w:rsidR="001F028F" w:rsidRPr="0079527F" w:rsidRDefault="001F028F" w:rsidP="00207FAA">
      <w:pPr>
        <w:autoSpaceDE w:val="0"/>
        <w:autoSpaceDN w:val="0"/>
        <w:ind w:left="7200" w:hanging="7200"/>
        <w:rPr>
          <w:lang w:val="lt-LT" w:eastAsia="lt-LT"/>
        </w:rPr>
      </w:pPr>
      <w:bookmarkStart w:id="0" w:name="_Hlk212183887"/>
      <w:r w:rsidRPr="0079527F">
        <w:rPr>
          <w:lang w:val="lt-LT" w:eastAsia="lt-LT"/>
        </w:rPr>
        <w:t>Suinteresuotiems dalyviams</w:t>
      </w:r>
      <w:r w:rsidRPr="0079527F">
        <w:rPr>
          <w:lang w:val="lt-LT" w:eastAsia="lt-LT"/>
        </w:rPr>
        <w:tab/>
      </w:r>
    </w:p>
    <w:p w14:paraId="5196E34F" w14:textId="77777777" w:rsidR="001F028F" w:rsidRPr="0079527F" w:rsidRDefault="001F028F" w:rsidP="001F028F">
      <w:pPr>
        <w:autoSpaceDE w:val="0"/>
        <w:autoSpaceDN w:val="0"/>
        <w:rPr>
          <w:lang w:val="lt-LT" w:eastAsia="lt-LT"/>
        </w:rPr>
      </w:pPr>
      <w:r w:rsidRPr="0079527F">
        <w:rPr>
          <w:lang w:val="lt-LT" w:eastAsia="lt-LT"/>
        </w:rPr>
        <w:tab/>
      </w:r>
      <w:r w:rsidRPr="0079527F">
        <w:rPr>
          <w:lang w:val="lt-LT" w:eastAsia="lt-LT"/>
        </w:rPr>
        <w:tab/>
      </w:r>
      <w:r w:rsidRPr="0079527F">
        <w:rPr>
          <w:lang w:val="lt-LT" w:eastAsia="lt-LT"/>
        </w:rPr>
        <w:tab/>
      </w:r>
      <w:r w:rsidRPr="0079527F">
        <w:rPr>
          <w:lang w:val="lt-LT" w:eastAsia="lt-LT"/>
        </w:rPr>
        <w:tab/>
      </w:r>
      <w:r w:rsidRPr="0079527F">
        <w:rPr>
          <w:lang w:val="lt-LT" w:eastAsia="lt-LT"/>
        </w:rPr>
        <w:tab/>
      </w:r>
    </w:p>
    <w:p w14:paraId="249B352D" w14:textId="77777777" w:rsidR="001F028F" w:rsidRPr="00E46222" w:rsidRDefault="001F028F" w:rsidP="001F028F">
      <w:pPr>
        <w:autoSpaceDE w:val="0"/>
        <w:autoSpaceDN w:val="0"/>
        <w:jc w:val="both"/>
        <w:rPr>
          <w:b/>
          <w:bCs/>
          <w:lang w:val="lt-LT" w:eastAsia="lt-LT"/>
        </w:rPr>
      </w:pPr>
      <w:r w:rsidRPr="00E46222">
        <w:rPr>
          <w:b/>
          <w:bCs/>
          <w:lang w:val="lt-LT" w:eastAsia="lt-LT"/>
        </w:rPr>
        <w:t>ATSAKYMAS Į TIEKĖJO PAKLAUSIMĄ</w:t>
      </w:r>
    </w:p>
    <w:p w14:paraId="7153D344" w14:textId="77777777" w:rsidR="001F028F" w:rsidRPr="00E46222" w:rsidRDefault="001F028F" w:rsidP="001F028F">
      <w:pPr>
        <w:autoSpaceDE w:val="0"/>
        <w:autoSpaceDN w:val="0"/>
        <w:rPr>
          <w:b/>
          <w:bCs/>
          <w:lang w:val="lt-LT" w:eastAsia="lt-LT"/>
        </w:rPr>
      </w:pPr>
    </w:p>
    <w:p w14:paraId="37DCC254" w14:textId="77777777" w:rsidR="001F028F" w:rsidRPr="0079527F" w:rsidRDefault="001F028F" w:rsidP="001F028F">
      <w:pPr>
        <w:pStyle w:val="prastasiniatinklio"/>
        <w:shd w:val="clear" w:color="auto" w:fill="FFFFFF"/>
        <w:spacing w:before="0" w:beforeAutospacing="0" w:after="150" w:afterAutospacing="0"/>
        <w:ind w:firstLine="1296"/>
        <w:contextualSpacing/>
        <w:jc w:val="both"/>
      </w:pPr>
      <w:r w:rsidRPr="0079527F">
        <w:t xml:space="preserve">Informuojame, kad CVP IS priemonėmis buvo gautas tiekėjo paklausimas </w:t>
      </w:r>
      <w:r w:rsidRPr="0079527F">
        <w:rPr>
          <w:bCs/>
          <w:shd w:val="clear" w:color="auto" w:fill="FFFFFF"/>
        </w:rPr>
        <w:t xml:space="preserve">pirkime </w:t>
      </w:r>
      <w:r w:rsidRPr="0079527F">
        <w:rPr>
          <w:b/>
          <w:bCs/>
          <w:shd w:val="clear" w:color="auto" w:fill="FFFFFF"/>
        </w:rPr>
        <w:t xml:space="preserve">Nr. </w:t>
      </w:r>
      <w:r w:rsidRPr="00C9140E">
        <w:rPr>
          <w:b/>
          <w:bCs/>
        </w:rPr>
        <w:t>6773161</w:t>
      </w:r>
      <w:r>
        <w:rPr>
          <w:b/>
          <w:bCs/>
        </w:rPr>
        <w:t xml:space="preserve"> </w:t>
      </w:r>
      <w:r>
        <w:rPr>
          <w:b/>
          <w:shd w:val="clear" w:color="auto" w:fill="FFFFFF"/>
        </w:rPr>
        <w:t>–</w:t>
      </w:r>
      <w:r w:rsidRPr="0079527F">
        <w:rPr>
          <w:b/>
          <w:bCs/>
          <w:shd w:val="clear" w:color="auto" w:fill="FFFFFF"/>
        </w:rPr>
        <w:t xml:space="preserve"> </w:t>
      </w:r>
      <w:r w:rsidRPr="0069687D">
        <w:rPr>
          <w:b/>
          <w:bCs/>
        </w:rPr>
        <w:t>Kompleksinis erdvių sutvarkymas ir pėsčiųjų -</w:t>
      </w:r>
      <w:r>
        <w:rPr>
          <w:b/>
          <w:bCs/>
        </w:rPr>
        <w:t xml:space="preserve"> </w:t>
      </w:r>
      <w:r w:rsidRPr="0069687D">
        <w:rPr>
          <w:b/>
          <w:bCs/>
        </w:rPr>
        <w:t>dviračių tako palei Kūnos upę Švenčionių mieste statybos darbai</w:t>
      </w:r>
      <w:r w:rsidRPr="0079527F">
        <w:t xml:space="preserve"> (</w:t>
      </w:r>
      <w:r w:rsidRPr="0059342E">
        <w:t>toliau – Pirkimas). Perkančioji</w:t>
      </w:r>
      <w:r w:rsidRPr="0079527F">
        <w:t xml:space="preserve"> organizacija, nepažeisdamas Pirkimo sąlygose nustatytų terminų, teikia atsakymą:</w:t>
      </w:r>
    </w:p>
    <w:tbl>
      <w:tblPr>
        <w:tblpPr w:leftFromText="180" w:rightFromText="180" w:vertAnchor="text"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4253"/>
        <w:gridCol w:w="5244"/>
      </w:tblGrid>
      <w:tr w:rsidR="001F028F" w:rsidRPr="0069687D" w14:paraId="55D8F109" w14:textId="77777777" w:rsidTr="009B08CD">
        <w:trPr>
          <w:cantSplit/>
        </w:trPr>
        <w:tc>
          <w:tcPr>
            <w:tcW w:w="704" w:type="dxa"/>
            <w:tcBorders>
              <w:top w:val="single" w:sz="4" w:space="0" w:color="000000"/>
              <w:left w:val="single" w:sz="4" w:space="0" w:color="000000"/>
              <w:bottom w:val="single" w:sz="4" w:space="0" w:color="000000"/>
              <w:right w:val="single" w:sz="4" w:space="0" w:color="000000"/>
            </w:tcBorders>
            <w:vAlign w:val="center"/>
          </w:tcPr>
          <w:p w14:paraId="2B17D647" w14:textId="77777777" w:rsidR="001F028F" w:rsidRPr="0069687D" w:rsidRDefault="001F028F" w:rsidP="00CF6C19">
            <w:pPr>
              <w:pStyle w:val="Point1"/>
              <w:spacing w:before="40" w:after="40"/>
              <w:ind w:left="0" w:firstLine="0"/>
              <w:contextualSpacing/>
              <w:jc w:val="center"/>
              <w:rPr>
                <w:b/>
                <w:bCs/>
                <w:szCs w:val="24"/>
                <w:lang w:val="lt-LT"/>
              </w:rPr>
            </w:pPr>
            <w:r w:rsidRPr="0069687D">
              <w:rPr>
                <w:b/>
                <w:bCs/>
                <w:szCs w:val="24"/>
                <w:lang w:val="lt-LT"/>
              </w:rPr>
              <w:t>Eil. Nr.</w:t>
            </w:r>
          </w:p>
        </w:tc>
        <w:tc>
          <w:tcPr>
            <w:tcW w:w="4253" w:type="dxa"/>
            <w:tcBorders>
              <w:top w:val="single" w:sz="4" w:space="0" w:color="000000"/>
              <w:left w:val="single" w:sz="4" w:space="0" w:color="000000"/>
              <w:bottom w:val="single" w:sz="4" w:space="0" w:color="000000"/>
              <w:right w:val="single" w:sz="4" w:space="0" w:color="000000"/>
            </w:tcBorders>
            <w:vAlign w:val="center"/>
          </w:tcPr>
          <w:p w14:paraId="4C841964" w14:textId="77777777" w:rsidR="001F028F" w:rsidRPr="0069687D" w:rsidRDefault="001F028F" w:rsidP="00CF6C19">
            <w:pPr>
              <w:tabs>
                <w:tab w:val="left" w:pos="459"/>
                <w:tab w:val="left" w:pos="3861"/>
              </w:tabs>
              <w:spacing w:before="40" w:after="40"/>
              <w:ind w:left="33"/>
              <w:contextualSpacing/>
              <w:jc w:val="center"/>
              <w:rPr>
                <w:b/>
                <w:bCs/>
                <w:lang w:val="lt-LT"/>
              </w:rPr>
            </w:pPr>
            <w:r w:rsidRPr="0069687D">
              <w:rPr>
                <w:b/>
                <w:bCs/>
                <w:lang w:val="lt-LT"/>
              </w:rPr>
              <w:t>Klausimas*</w:t>
            </w:r>
          </w:p>
        </w:tc>
        <w:tc>
          <w:tcPr>
            <w:tcW w:w="5244" w:type="dxa"/>
            <w:tcBorders>
              <w:top w:val="single" w:sz="4" w:space="0" w:color="000000"/>
              <w:left w:val="single" w:sz="4" w:space="0" w:color="000000"/>
              <w:bottom w:val="single" w:sz="4" w:space="0" w:color="000000"/>
              <w:right w:val="single" w:sz="4" w:space="0" w:color="000000"/>
            </w:tcBorders>
            <w:vAlign w:val="center"/>
          </w:tcPr>
          <w:p w14:paraId="02CEE2A1" w14:textId="77777777" w:rsidR="001F028F" w:rsidRPr="0069687D" w:rsidRDefault="001F028F" w:rsidP="00CF6C19">
            <w:pPr>
              <w:tabs>
                <w:tab w:val="left" w:pos="459"/>
                <w:tab w:val="left" w:pos="3753"/>
              </w:tabs>
              <w:spacing w:before="40" w:after="40"/>
              <w:ind w:left="33"/>
              <w:contextualSpacing/>
              <w:jc w:val="center"/>
              <w:rPr>
                <w:b/>
                <w:bCs/>
                <w:lang w:val="lt-LT"/>
              </w:rPr>
            </w:pPr>
            <w:r w:rsidRPr="0069687D">
              <w:rPr>
                <w:b/>
                <w:bCs/>
                <w:lang w:val="lt-LT"/>
              </w:rPr>
              <w:t>Atsakymas</w:t>
            </w:r>
          </w:p>
        </w:tc>
      </w:tr>
      <w:tr w:rsidR="009B08CD" w:rsidRPr="00E377A1" w14:paraId="42BD015D" w14:textId="77777777" w:rsidTr="009B08CD">
        <w:trPr>
          <w:cantSplit/>
        </w:trPr>
        <w:tc>
          <w:tcPr>
            <w:tcW w:w="704" w:type="dxa"/>
            <w:tcBorders>
              <w:top w:val="single" w:sz="4" w:space="0" w:color="000000"/>
              <w:left w:val="single" w:sz="4" w:space="0" w:color="000000"/>
              <w:bottom w:val="single" w:sz="4" w:space="0" w:color="000000"/>
              <w:right w:val="single" w:sz="4" w:space="0" w:color="000000"/>
            </w:tcBorders>
          </w:tcPr>
          <w:p w14:paraId="7EA3C919" w14:textId="77777777" w:rsidR="009B08CD" w:rsidRPr="0069687D" w:rsidRDefault="009B08CD" w:rsidP="009B08CD">
            <w:pPr>
              <w:pStyle w:val="Point1"/>
              <w:spacing w:before="40" w:after="40"/>
              <w:ind w:left="0" w:firstLine="0"/>
              <w:contextualSpacing/>
              <w:rPr>
                <w:szCs w:val="24"/>
                <w:lang w:val="lt-LT"/>
              </w:rPr>
            </w:pPr>
            <w:r w:rsidRPr="0069687D">
              <w:rPr>
                <w:szCs w:val="24"/>
                <w:lang w:val="lt-LT"/>
              </w:rPr>
              <w:t>1.</w:t>
            </w:r>
          </w:p>
        </w:tc>
        <w:tc>
          <w:tcPr>
            <w:tcW w:w="4253" w:type="dxa"/>
            <w:tcBorders>
              <w:top w:val="single" w:sz="4" w:space="0" w:color="000000"/>
              <w:left w:val="single" w:sz="4" w:space="0" w:color="000000"/>
              <w:bottom w:val="single" w:sz="4" w:space="0" w:color="000000"/>
              <w:right w:val="single" w:sz="4" w:space="0" w:color="000000"/>
            </w:tcBorders>
          </w:tcPr>
          <w:p w14:paraId="6C66CB53" w14:textId="77777777" w:rsidR="009B08CD" w:rsidRPr="0034249E" w:rsidRDefault="009B08CD" w:rsidP="009B08CD">
            <w:pPr>
              <w:tabs>
                <w:tab w:val="left" w:pos="459"/>
                <w:tab w:val="left" w:pos="3861"/>
              </w:tabs>
              <w:contextualSpacing/>
              <w:jc w:val="both"/>
              <w:rPr>
                <w:i/>
                <w:lang w:val="lt-LT"/>
              </w:rPr>
            </w:pPr>
            <w:r w:rsidRPr="0034249E">
              <w:rPr>
                <w:lang w:val="lt-LT"/>
              </w:rPr>
              <w:t>Konkurso sąlygų 4 priede Kvalifikacija ir Aplinkos asp 2.1 p. nurodyta "...Svarbiausiais statybos darbai laikomi (norint pasiekti ne mažesnę nei 630 000 eurų be PVM sumą - jie gali būti sumuojami): pėsčiųjų takų įrengimo/remonto darbai, ir/arba dviračių takų įrengimo/remonto darbai."".</w:t>
            </w:r>
            <w:r w:rsidRPr="0034249E">
              <w:rPr>
                <w:lang w:val="lt-LT"/>
              </w:rPr>
              <w:br/>
              <w:t>Pėsčiųjų ir dviračių takai pagal inžinerinių statinių klasifikavimą priskiriami Susiekimo komunikacijų statinių grupei: Keliai. Ar gali Tiekėjas patirties įrodymui pateikti sutartis, pagal kurias yra atlikęs rangos darbus inžinerinių statinių grupėje, susisiekimo komunikacijos: keliai ir gatvės, ir jo kvalifikacija bus užskaityta kaip tinkama?</w:t>
            </w:r>
          </w:p>
        </w:tc>
        <w:tc>
          <w:tcPr>
            <w:tcW w:w="5244" w:type="dxa"/>
            <w:tcBorders>
              <w:top w:val="single" w:sz="4" w:space="0" w:color="000000"/>
              <w:left w:val="single" w:sz="4" w:space="0" w:color="000000"/>
              <w:bottom w:val="single" w:sz="4" w:space="0" w:color="000000"/>
              <w:right w:val="single" w:sz="4" w:space="0" w:color="000000"/>
            </w:tcBorders>
          </w:tcPr>
          <w:p w14:paraId="3E932A1C" w14:textId="77777777" w:rsidR="009B08CD" w:rsidRPr="0034249E" w:rsidRDefault="009B08CD" w:rsidP="009B08CD">
            <w:pPr>
              <w:jc w:val="both"/>
              <w:rPr>
                <w:lang w:val="lt-LT"/>
              </w:rPr>
            </w:pPr>
            <w:r w:rsidRPr="0034249E">
              <w:rPr>
                <w:lang w:val="lt-LT"/>
              </w:rPr>
              <w:t>Pažymime, jog tiekėjo patirtis vertinama ne pagal tai kokioje inžinerinių statinių grupėje darbai buvo atlikti, o pagal konkrečiai nurodytus konkrečius darbus</w:t>
            </w:r>
            <w:r w:rsidR="00207FAA" w:rsidRPr="0034249E">
              <w:rPr>
                <w:lang w:val="lt-LT"/>
              </w:rPr>
              <w:t xml:space="preserve">, apibūdintus </w:t>
            </w:r>
            <w:r w:rsidR="00207FAA" w:rsidRPr="0034249E">
              <w:rPr>
                <w:bCs/>
                <w:iCs/>
                <w:lang w:val="lt-LT"/>
              </w:rPr>
              <w:t xml:space="preserve"> specialiųjų pirkimo sąlygų 4 priedo 2.1. p.</w:t>
            </w:r>
            <w:r w:rsidRPr="0034249E">
              <w:rPr>
                <w:lang w:val="lt-LT"/>
              </w:rPr>
              <w:t xml:space="preserve">  Perkančioji organizacija nustatydama, kokie darbai konkrečiame pirkime bus laikomi svarbiausiais statybos darbais, atsižvelgė į konkretų pirkimo objektą ir visas susijusias aplinkybes – darbų pobūdį, sudėtingumą. Kvalifikacijos reikalavime turi būti (ir yra) aiškiai nurodyta, kokių svarbiausių atliktų darbų reikalaujama. Konkrečiu atveju yra svarbu pabrėžti, jog Perkančioji organizacija nurodė tokius darbus, kurie apima absoliučiai didžiąją dalį statybos darbų, įsigyjamų pagal techninį projektą, todėl nėra laikytina, jog vertinamas kvalifikacinis reikalavimas pernelyg susiaurintas, nepagrįstas ar ribojantis konkurenciją. </w:t>
            </w:r>
          </w:p>
          <w:p w14:paraId="2EC350DC" w14:textId="77777777" w:rsidR="00207FAA" w:rsidRPr="0034249E" w:rsidRDefault="00207FAA" w:rsidP="009B08CD">
            <w:pPr>
              <w:jc w:val="both"/>
              <w:rPr>
                <w:lang w:val="lt-LT"/>
              </w:rPr>
            </w:pPr>
          </w:p>
          <w:p w14:paraId="1601D5DA" w14:textId="77777777" w:rsidR="009B08CD" w:rsidRPr="0034249E" w:rsidRDefault="00207FAA" w:rsidP="009B08CD">
            <w:pPr>
              <w:jc w:val="both"/>
              <w:rPr>
                <w:lang w:val="lt-LT"/>
              </w:rPr>
            </w:pPr>
            <w:r w:rsidRPr="0034249E">
              <w:rPr>
                <w:bCs/>
                <w:iCs/>
                <w:lang w:val="lt-LT"/>
              </w:rPr>
              <w:t>Teikiant kvalifikacinį reikalavimą grindžiančius dokumentus, s</w:t>
            </w:r>
            <w:r w:rsidR="009B08CD" w:rsidRPr="0034249E">
              <w:rPr>
                <w:bCs/>
                <w:iCs/>
                <w:lang w:val="lt-LT"/>
              </w:rPr>
              <w:t xml:space="preserve">varbiausia, kad iš pateiktos informacijos būtų galima aiškiai suprasti, kad vykdyti būtent tokie darbai ir būtų pateikti kiti kvalifikaciniu reikalavimu keliami duomenys, kaip tai yra išdėstyta specialiųjų pirkimo sąlygų 4 priedo 2.1. p.: </w:t>
            </w:r>
            <w:r w:rsidR="009B08CD" w:rsidRPr="0034249E">
              <w:rPr>
                <w:bCs/>
                <w:i/>
                <w:iCs/>
                <w:lang w:val="lt-LT"/>
              </w:rPr>
              <w:t>„...</w:t>
            </w:r>
            <w:r w:rsidR="009B08CD" w:rsidRPr="0034249E">
              <w:rPr>
                <w:i/>
                <w:lang w:val="lt-LT"/>
              </w:rPr>
              <w:t>pėsčiųjų takų įrengimo/remonto darbai, ir/arba dviračių takų įrengimo/remonto darbai</w:t>
            </w:r>
            <w:r w:rsidR="009B08CD" w:rsidRPr="0034249E">
              <w:rPr>
                <w:bCs/>
                <w:i/>
                <w:iCs/>
                <w:lang w:val="lt-LT"/>
              </w:rPr>
              <w:t>.</w:t>
            </w:r>
            <w:r w:rsidR="009B08CD" w:rsidRPr="0034249E">
              <w:rPr>
                <w:bCs/>
                <w:iCs/>
                <w:lang w:val="lt-LT"/>
              </w:rPr>
              <w:t>..“. Be kita ko, Specialiųjų pirkimo sąlygų 12 priede yra nurodyta, jog “</w:t>
            </w:r>
            <w:r w:rsidR="009B08CD" w:rsidRPr="0034249E">
              <w:rPr>
                <w:i/>
                <w:lang w:val="lt-LT"/>
              </w:rPr>
              <w:t xml:space="preserve">tiekėjas privalės pagrįsti šį kvalifikacinį reikalavimą aiškiai nurodydamas informaciją apie atliktus darbus, pvz., </w:t>
            </w:r>
            <w:r w:rsidR="009B08CD" w:rsidRPr="0034249E">
              <w:rPr>
                <w:b/>
                <w:i/>
                <w:lang w:val="lt-LT"/>
              </w:rPr>
              <w:t>pateikti objektines sąmatas, kurios atitinka svarbiausių darbų įvardinimą</w:t>
            </w:r>
            <w:r w:rsidR="009B08CD" w:rsidRPr="0034249E">
              <w:rPr>
                <w:i/>
                <w:lang w:val="lt-LT"/>
              </w:rPr>
              <w:t xml:space="preserve">, pateikti užsakovų pažymas, kurios aiškiai išdėsto </w:t>
            </w:r>
            <w:r w:rsidR="009B08CD" w:rsidRPr="0034249E">
              <w:rPr>
                <w:b/>
                <w:i/>
                <w:lang w:val="lt-LT"/>
              </w:rPr>
              <w:t>už kokią sumą yra atlikta svarbiausių darbų</w:t>
            </w:r>
            <w:r w:rsidR="009B08CD" w:rsidRPr="0034249E">
              <w:rPr>
                <w:i/>
                <w:lang w:val="lt-LT"/>
              </w:rPr>
              <w:t xml:space="preserve"> ir pan</w:t>
            </w:r>
            <w:r w:rsidR="009B08CD" w:rsidRPr="0034249E">
              <w:rPr>
                <w:lang w:val="lt-LT"/>
              </w:rPr>
              <w:t>.”. Kitaip tariant, jeigu iš sąskaitų, užsakovų pateiktų atliktų darbų pažymų ar kt. dokumentų bus galima suprasti, kad buvo  įrengiami/remontuojami pėsčiųjų  takai  ir (ar) dviračių takai – tokie darbai bus laikomi tinkami siekiant kvalifikacinio reikalavimo atitikimo, išdėstyto 4 priedo 2.1. p.</w:t>
            </w:r>
          </w:p>
          <w:p w14:paraId="5F75BC13" w14:textId="77777777" w:rsidR="009B08CD" w:rsidRPr="0034249E" w:rsidRDefault="009B08CD" w:rsidP="009B08CD">
            <w:pPr>
              <w:jc w:val="both"/>
              <w:rPr>
                <w:lang w:val="lt-LT"/>
              </w:rPr>
            </w:pPr>
            <w:r w:rsidRPr="0034249E">
              <w:rPr>
                <w:lang w:val="lt-LT"/>
              </w:rPr>
              <w:lastRenderedPageBreak/>
              <w:t>Taip pat primename, jog pagal VPĮ 51 str. 11 d., perkančiosios organizacijos yra  įpareigotos per 5 darbo dienas nuo tiekėjo prašymo gavimo dienos išduoti pažymą apie tiekėjo per paskutinius 5 metus atliktų svarbiausių darbų ir galutinių rezultatų tinkamumą vykdant su ja sudarytas pirkimo sutartis.</w:t>
            </w:r>
          </w:p>
        </w:tc>
      </w:tr>
    </w:tbl>
    <w:p w14:paraId="67EA2C2B" w14:textId="77777777" w:rsidR="001F028F" w:rsidRPr="0079527F" w:rsidRDefault="001F028F" w:rsidP="001F028F">
      <w:pPr>
        <w:rPr>
          <w:lang w:val="lt-LT"/>
        </w:rPr>
      </w:pPr>
      <w:r w:rsidRPr="0079527F">
        <w:rPr>
          <w:lang w:val="lt-LT"/>
        </w:rPr>
        <w:lastRenderedPageBreak/>
        <w:t>* - Tiekėjo tekstas nekoreguotas.</w:t>
      </w:r>
    </w:p>
    <w:p w14:paraId="1DAD503B" w14:textId="77777777" w:rsidR="001F028F" w:rsidRDefault="001F028F" w:rsidP="001F028F">
      <w:pPr>
        <w:rPr>
          <w:lang w:val="lt-LT"/>
        </w:rPr>
      </w:pPr>
    </w:p>
    <w:p w14:paraId="1CEB9C69" w14:textId="77777777" w:rsidR="001F028F" w:rsidRDefault="001F028F" w:rsidP="001F028F">
      <w:pPr>
        <w:rPr>
          <w:lang w:val="lt-LT"/>
        </w:rPr>
      </w:pPr>
    </w:p>
    <w:p w14:paraId="15DC2BBC" w14:textId="4D1810CB" w:rsidR="001F028F" w:rsidRPr="0079527F" w:rsidRDefault="00E377A1" w:rsidP="001F028F">
      <w:pPr>
        <w:rPr>
          <w:lang w:val="lt-LT"/>
        </w:rPr>
      </w:pPr>
      <w:r>
        <w:rPr>
          <w:lang w:val="lt-LT"/>
        </w:rPr>
        <w:t>Pagarbiai,</w:t>
      </w:r>
      <w:r w:rsidR="001F028F">
        <w:rPr>
          <w:lang w:val="lt-LT"/>
        </w:rPr>
        <w:tab/>
      </w:r>
      <w:r w:rsidR="001F028F">
        <w:rPr>
          <w:lang w:val="lt-LT"/>
        </w:rPr>
        <w:tab/>
      </w:r>
      <w:r w:rsidR="001F028F">
        <w:rPr>
          <w:lang w:val="lt-LT"/>
        </w:rPr>
        <w:tab/>
      </w:r>
      <w:r w:rsidR="001F028F">
        <w:rPr>
          <w:lang w:val="lt-LT"/>
        </w:rPr>
        <w:tab/>
      </w:r>
      <w:r w:rsidR="001F028F">
        <w:rPr>
          <w:lang w:val="lt-LT"/>
        </w:rPr>
        <w:tab/>
      </w:r>
      <w:bookmarkEnd w:id="0"/>
    </w:p>
    <w:p w14:paraId="3A8678A1" w14:textId="77777777" w:rsidR="00825F51" w:rsidRPr="00E377A1" w:rsidRDefault="00825F51" w:rsidP="001F028F">
      <w:pPr>
        <w:rPr>
          <w:lang w:val="pt-PT"/>
        </w:rPr>
      </w:pPr>
    </w:p>
    <w:sectPr w:rsidR="00825F51" w:rsidRPr="00E377A1" w:rsidSect="00E46222">
      <w:headerReference w:type="default" r:id="rId7"/>
      <w:pgSz w:w="11906" w:h="16838"/>
      <w:pgMar w:top="1276"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D0B6A" w14:textId="77777777" w:rsidR="00552995" w:rsidRDefault="00552995">
      <w:r>
        <w:separator/>
      </w:r>
    </w:p>
  </w:endnote>
  <w:endnote w:type="continuationSeparator" w:id="0">
    <w:p w14:paraId="5E2E3D74" w14:textId="77777777" w:rsidR="00552995" w:rsidRDefault="00552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61AEF" w14:textId="77777777" w:rsidR="00552995" w:rsidRDefault="00552995">
      <w:r>
        <w:separator/>
      </w:r>
    </w:p>
  </w:footnote>
  <w:footnote w:type="continuationSeparator" w:id="0">
    <w:p w14:paraId="05129459" w14:textId="77777777" w:rsidR="00552995" w:rsidRDefault="00552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B98B" w14:textId="77777777" w:rsidR="00345BCB" w:rsidRDefault="00345BCB" w:rsidP="00E46222">
    <w:pPr>
      <w:tabs>
        <w:tab w:val="left" w:pos="720"/>
      </w:tabs>
      <w:ind w:firstLine="1296"/>
      <w:jc w:val="center"/>
      <w:rPr>
        <w:rFonts w:ascii="Arial" w:hAnsi="Arial" w:cs="Arial"/>
        <w:sz w:val="16"/>
        <w:szCs w:val="16"/>
        <w:u w:val="single"/>
        <w:lang w:eastAsia="lt-LT"/>
      </w:rPr>
    </w:pPr>
  </w:p>
  <w:p w14:paraId="531AEBF3" w14:textId="77777777" w:rsidR="00345BCB" w:rsidRDefault="00345B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343"/>
    <w:multiLevelType w:val="hybridMultilevel"/>
    <w:tmpl w:val="B066B2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943BD8"/>
    <w:multiLevelType w:val="hybridMultilevel"/>
    <w:tmpl w:val="E24C3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8332775">
    <w:abstractNumId w:val="1"/>
  </w:num>
  <w:num w:numId="2" w16cid:durableId="1189297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815"/>
    <w:rsid w:val="00064815"/>
    <w:rsid w:val="00175159"/>
    <w:rsid w:val="00196657"/>
    <w:rsid w:val="001A5699"/>
    <w:rsid w:val="001D4442"/>
    <w:rsid w:val="001F028F"/>
    <w:rsid w:val="00207FAA"/>
    <w:rsid w:val="0028436A"/>
    <w:rsid w:val="002B2A86"/>
    <w:rsid w:val="0034249E"/>
    <w:rsid w:val="003432A4"/>
    <w:rsid w:val="00343922"/>
    <w:rsid w:val="00345BCB"/>
    <w:rsid w:val="0042459F"/>
    <w:rsid w:val="004F0BC3"/>
    <w:rsid w:val="00552995"/>
    <w:rsid w:val="00731023"/>
    <w:rsid w:val="00780EEF"/>
    <w:rsid w:val="00825F51"/>
    <w:rsid w:val="00897C93"/>
    <w:rsid w:val="008A4C39"/>
    <w:rsid w:val="00900124"/>
    <w:rsid w:val="009B08CD"/>
    <w:rsid w:val="009E7D9A"/>
    <w:rsid w:val="00A26605"/>
    <w:rsid w:val="00BC5F76"/>
    <w:rsid w:val="00C04910"/>
    <w:rsid w:val="00C23F4E"/>
    <w:rsid w:val="00D0205B"/>
    <w:rsid w:val="00D80872"/>
    <w:rsid w:val="00E377A1"/>
    <w:rsid w:val="00E70AE4"/>
    <w:rsid w:val="00F20C55"/>
    <w:rsid w:val="00FA5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04157"/>
  <w15:chartTrackingRefBased/>
  <w15:docId w15:val="{AFCDC757-F445-41E0-8761-15F8A195E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028F"/>
    <w:pPr>
      <w:spacing w:after="0" w:line="240" w:lineRule="auto"/>
    </w:pPr>
    <w:rPr>
      <w:rFonts w:ascii="Times New Roman" w:eastAsia="Times New Roman" w:hAnsi="Times New Roman" w:cs="Times New Roman"/>
      <w:sz w:val="24"/>
      <w:szCs w:val="24"/>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C5F76"/>
    <w:pPr>
      <w:spacing w:after="160" w:line="259" w:lineRule="auto"/>
      <w:ind w:left="720"/>
      <w:contextualSpacing/>
    </w:pPr>
    <w:rPr>
      <w:rFonts w:asciiTheme="minorHAnsi" w:eastAsiaTheme="minorHAnsi" w:hAnsiTheme="minorHAnsi" w:cstheme="minorBidi"/>
      <w:sz w:val="22"/>
      <w:szCs w:val="22"/>
      <w:lang w:val="en-US" w:eastAsia="en-US"/>
    </w:rPr>
  </w:style>
  <w:style w:type="character" w:styleId="Komentaronuoroda">
    <w:name w:val="annotation reference"/>
    <w:basedOn w:val="Numatytasispastraiposriftas"/>
    <w:uiPriority w:val="99"/>
    <w:semiHidden/>
    <w:unhideWhenUsed/>
    <w:rsid w:val="00C23F4E"/>
    <w:rPr>
      <w:sz w:val="16"/>
      <w:szCs w:val="16"/>
    </w:rPr>
  </w:style>
  <w:style w:type="paragraph" w:styleId="Komentarotekstas">
    <w:name w:val="annotation text"/>
    <w:basedOn w:val="prastasis"/>
    <w:link w:val="KomentarotekstasDiagrama"/>
    <w:uiPriority w:val="99"/>
    <w:semiHidden/>
    <w:unhideWhenUsed/>
    <w:rsid w:val="00C23F4E"/>
    <w:pPr>
      <w:spacing w:after="160"/>
    </w:pPr>
    <w:rPr>
      <w:rFonts w:asciiTheme="minorHAnsi" w:eastAsiaTheme="minorHAnsi" w:hAnsiTheme="minorHAnsi" w:cstheme="minorBidi"/>
      <w:sz w:val="20"/>
      <w:szCs w:val="20"/>
      <w:lang w:val="en-US" w:eastAsia="en-US"/>
    </w:rPr>
  </w:style>
  <w:style w:type="character" w:customStyle="1" w:styleId="KomentarotekstasDiagrama">
    <w:name w:val="Komentaro tekstas Diagrama"/>
    <w:basedOn w:val="Numatytasispastraiposriftas"/>
    <w:link w:val="Komentarotekstas"/>
    <w:uiPriority w:val="99"/>
    <w:semiHidden/>
    <w:rsid w:val="00C23F4E"/>
    <w:rPr>
      <w:sz w:val="20"/>
      <w:szCs w:val="20"/>
    </w:rPr>
  </w:style>
  <w:style w:type="paragraph" w:styleId="Komentarotema">
    <w:name w:val="annotation subject"/>
    <w:basedOn w:val="Komentarotekstas"/>
    <w:next w:val="Komentarotekstas"/>
    <w:link w:val="KomentarotemaDiagrama"/>
    <w:uiPriority w:val="99"/>
    <w:semiHidden/>
    <w:unhideWhenUsed/>
    <w:rsid w:val="00C23F4E"/>
    <w:rPr>
      <w:b/>
      <w:bCs/>
    </w:rPr>
  </w:style>
  <w:style w:type="character" w:customStyle="1" w:styleId="KomentarotemaDiagrama">
    <w:name w:val="Komentaro tema Diagrama"/>
    <w:basedOn w:val="KomentarotekstasDiagrama"/>
    <w:link w:val="Komentarotema"/>
    <w:uiPriority w:val="99"/>
    <w:semiHidden/>
    <w:rsid w:val="00C23F4E"/>
    <w:rPr>
      <w:b/>
      <w:bCs/>
      <w:sz w:val="20"/>
      <w:szCs w:val="20"/>
    </w:rPr>
  </w:style>
  <w:style w:type="paragraph" w:styleId="Debesliotekstas">
    <w:name w:val="Balloon Text"/>
    <w:basedOn w:val="prastasis"/>
    <w:link w:val="DebesliotekstasDiagrama"/>
    <w:uiPriority w:val="99"/>
    <w:semiHidden/>
    <w:unhideWhenUsed/>
    <w:rsid w:val="00C23F4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3F4E"/>
    <w:rPr>
      <w:rFonts w:ascii="Segoe UI" w:hAnsi="Segoe UI" w:cs="Segoe UI"/>
      <w:sz w:val="18"/>
      <w:szCs w:val="18"/>
    </w:rPr>
  </w:style>
  <w:style w:type="character" w:customStyle="1" w:styleId="wysiwyg-font-size-medium">
    <w:name w:val="wysiwyg-font-size-medium"/>
    <w:basedOn w:val="Numatytasispastraiposriftas"/>
    <w:rsid w:val="00E70AE4"/>
  </w:style>
  <w:style w:type="character" w:customStyle="1" w:styleId="wysiwyg-color-black">
    <w:name w:val="wysiwyg-color-black"/>
    <w:basedOn w:val="Numatytasispastraiposriftas"/>
    <w:rsid w:val="00E70AE4"/>
  </w:style>
  <w:style w:type="paragraph" w:customStyle="1" w:styleId="Point1">
    <w:name w:val="Point 1"/>
    <w:basedOn w:val="prastasis"/>
    <w:rsid w:val="001F028F"/>
    <w:pPr>
      <w:spacing w:before="120" w:after="120"/>
      <w:ind w:left="1418" w:hanging="567"/>
      <w:jc w:val="both"/>
    </w:pPr>
    <w:rPr>
      <w:szCs w:val="20"/>
    </w:rPr>
  </w:style>
  <w:style w:type="paragraph" w:styleId="prastasiniatinklio">
    <w:name w:val="Normal (Web)"/>
    <w:basedOn w:val="prastasis"/>
    <w:uiPriority w:val="99"/>
    <w:unhideWhenUsed/>
    <w:rsid w:val="001F028F"/>
    <w:pPr>
      <w:spacing w:before="100" w:beforeAutospacing="1" w:after="100" w:afterAutospacing="1"/>
    </w:pPr>
    <w:rPr>
      <w:lang w:val="lt-LT" w:eastAsia="lt-LT" w:bidi="bo-CN"/>
    </w:rPr>
  </w:style>
  <w:style w:type="paragraph" w:styleId="Antrats">
    <w:name w:val="header"/>
    <w:basedOn w:val="prastasis"/>
    <w:link w:val="AntratsDiagrama"/>
    <w:uiPriority w:val="99"/>
    <w:unhideWhenUsed/>
    <w:rsid w:val="001F028F"/>
    <w:pPr>
      <w:tabs>
        <w:tab w:val="center" w:pos="4819"/>
        <w:tab w:val="right" w:pos="9638"/>
      </w:tabs>
    </w:pPr>
  </w:style>
  <w:style w:type="character" w:customStyle="1" w:styleId="AntratsDiagrama">
    <w:name w:val="Antraštės Diagrama"/>
    <w:basedOn w:val="Numatytasispastraiposriftas"/>
    <w:link w:val="Antrats"/>
    <w:uiPriority w:val="99"/>
    <w:rsid w:val="001F028F"/>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2103</Words>
  <Characters>1200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Steponėnas</dc:creator>
  <cp:keywords/>
  <dc:description/>
  <cp:lastModifiedBy>Svetlana Aleksandrova</cp:lastModifiedBy>
  <cp:revision>3</cp:revision>
  <dcterms:created xsi:type="dcterms:W3CDTF">2026-03-09T07:29:00Z</dcterms:created>
  <dcterms:modified xsi:type="dcterms:W3CDTF">2026-03-09T07:41:00Z</dcterms:modified>
</cp:coreProperties>
</file>