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14:paraId="5C388C69" w14:textId="77777777" w:rsidTr="000A378C">
        <w:tc>
          <w:tcPr>
            <w:tcW w:w="9855" w:type="dxa"/>
          </w:tcPr>
          <w:p w14:paraId="0FA8DD25" w14:textId="77777777" w:rsidR="003C7FAC" w:rsidRDefault="003C7FAC" w:rsidP="00561AF1">
            <w:pPr>
              <w:spacing w:after="0" w:line="254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14:paraId="526594D3" w14:textId="77777777" w:rsidTr="000A378C">
        <w:tc>
          <w:tcPr>
            <w:tcW w:w="9855" w:type="dxa"/>
          </w:tcPr>
          <w:p w14:paraId="006F8C4A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31BD5829" w14:textId="77777777" w:rsidTr="000A378C">
        <w:tc>
          <w:tcPr>
            <w:tcW w:w="9855" w:type="dxa"/>
            <w:hideMark/>
          </w:tcPr>
          <w:p w14:paraId="1E0B475C" w14:textId="77777777" w:rsidR="003C7FAC" w:rsidRPr="00BD6893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14:paraId="3DD090BC" w14:textId="77777777" w:rsidTr="000A378C">
        <w:tc>
          <w:tcPr>
            <w:tcW w:w="9855" w:type="dxa"/>
            <w:hideMark/>
          </w:tcPr>
          <w:p w14:paraId="47EBD82A" w14:textId="77777777" w:rsidR="003C7FAC" w:rsidRPr="00BD6893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14:paraId="01E01A8C" w14:textId="77777777" w:rsidTr="000A378C">
        <w:tc>
          <w:tcPr>
            <w:tcW w:w="9855" w:type="dxa"/>
          </w:tcPr>
          <w:p w14:paraId="054D4F19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Pr="00BD6893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BD6893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BD6893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BD6893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40F0B897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Default="003C7FAC" w:rsidP="003C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2411"/>
      </w:tblGrid>
      <w:tr w:rsidR="009266AD" w:rsidRPr="00BD6893" w14:paraId="5ED20D02" w14:textId="77777777" w:rsidTr="00561AF1">
        <w:trPr>
          <w:cantSplit/>
        </w:trPr>
        <w:tc>
          <w:tcPr>
            <w:tcW w:w="4535" w:type="dxa"/>
            <w:hideMark/>
          </w:tcPr>
          <w:p w14:paraId="1A69A230" w14:textId="77777777" w:rsidR="009266AD" w:rsidRPr="00BD6893" w:rsidRDefault="009266AD" w:rsidP="004D518E">
            <w:pPr>
              <w:spacing w:after="0" w:line="254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68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1" w:type="dxa"/>
            <w:hideMark/>
          </w:tcPr>
          <w:p w14:paraId="7DFC9AF8" w14:textId="61CC061D" w:rsidR="009266AD" w:rsidRPr="00BD6893" w:rsidRDefault="00E3682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="006A7BEA" w:rsidRPr="00BD68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6A7BEA" w:rsidRPr="00BD68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03</w:t>
            </w:r>
            <w:r w:rsidR="00561AF1" w:rsidRPr="00BD68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</w:tr>
      <w:tr w:rsidR="009266AD" w:rsidRPr="00BD6893" w14:paraId="1DE0ADAD" w14:textId="77777777" w:rsidTr="00561AF1">
        <w:trPr>
          <w:cantSplit/>
        </w:trPr>
        <w:tc>
          <w:tcPr>
            <w:tcW w:w="4535" w:type="dxa"/>
          </w:tcPr>
          <w:p w14:paraId="25A7F9AB" w14:textId="77777777" w:rsidR="00561AF1" w:rsidRPr="00BD6893" w:rsidRDefault="00561AF1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B49FBBD" w14:textId="77777777" w:rsidR="00561AF1" w:rsidRPr="00BD6893" w:rsidRDefault="00561AF1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1" w:type="dxa"/>
          </w:tcPr>
          <w:p w14:paraId="067DA99D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66AD" w:rsidRPr="00BD6893" w14:paraId="43833E63" w14:textId="77777777" w:rsidTr="00561AF1">
        <w:trPr>
          <w:cantSplit/>
        </w:trPr>
        <w:tc>
          <w:tcPr>
            <w:tcW w:w="4535" w:type="dxa"/>
          </w:tcPr>
          <w:p w14:paraId="4F737DD2" w14:textId="77777777" w:rsidR="009266AD" w:rsidRPr="00BD6893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1" w:type="dxa"/>
          </w:tcPr>
          <w:p w14:paraId="747EE77B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66AD" w:rsidRPr="00BD6893" w14:paraId="39BDE93B" w14:textId="77777777" w:rsidTr="00561AF1">
        <w:trPr>
          <w:cantSplit/>
        </w:trPr>
        <w:tc>
          <w:tcPr>
            <w:tcW w:w="9531" w:type="dxa"/>
            <w:gridSpan w:val="3"/>
            <w:hideMark/>
          </w:tcPr>
          <w:p w14:paraId="1CFD3A9A" w14:textId="0F575CEE" w:rsidR="009266AD" w:rsidRPr="00BD6893" w:rsidRDefault="00880C90" w:rsidP="00561AF1">
            <w:pPr>
              <w:spacing w:after="0" w:line="254" w:lineRule="auto"/>
              <w:jc w:val="both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BD6893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:szCs w:val="24"/>
                <w14:ligatures w14:val="none"/>
              </w:rPr>
              <w:t>DĖL pRANEŠIM</w:t>
            </w:r>
            <w:r w:rsidR="00217D9E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:szCs w:val="24"/>
                <w14:ligatures w14:val="none"/>
              </w:rPr>
              <w:t>O</w:t>
            </w:r>
            <w:r w:rsidRPr="00BD6893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:szCs w:val="24"/>
                <w14:ligatures w14:val="none"/>
              </w:rPr>
              <w:t xml:space="preserve"> NAGRINĖJIMO</w:t>
            </w:r>
          </w:p>
        </w:tc>
      </w:tr>
      <w:tr w:rsidR="009266AD" w:rsidRPr="00BD6893" w14:paraId="20DEC6BB" w14:textId="77777777" w:rsidTr="00561AF1">
        <w:trPr>
          <w:cantSplit/>
        </w:trPr>
        <w:tc>
          <w:tcPr>
            <w:tcW w:w="4535" w:type="dxa"/>
          </w:tcPr>
          <w:p w14:paraId="45A95A9E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11" w:type="dxa"/>
          </w:tcPr>
          <w:p w14:paraId="44A8F57E" w14:textId="77777777" w:rsidR="009266AD" w:rsidRPr="00BD6893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BD6893" w:rsidRDefault="00C83FF5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BD689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</w:p>
    <w:p w14:paraId="044FD94A" w14:textId="77777777" w:rsidR="00561AF1" w:rsidRPr="00BD6893" w:rsidRDefault="00561AF1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1BB726B9" w14:textId="2C2A4AFF" w:rsidR="003B511C" w:rsidRPr="001433E1" w:rsidRDefault="00C83FF5" w:rsidP="000122E2">
      <w:pPr>
        <w:tabs>
          <w:tab w:val="left" w:pos="426"/>
        </w:tabs>
        <w:spacing w:after="0" w:line="240" w:lineRule="auto"/>
        <w:ind w:firstLine="129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C375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(toliau – komisija)</w:t>
      </w:r>
      <w:r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202</w:t>
      </w:r>
      <w:r w:rsidR="00984D2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984D2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03</w:t>
      </w:r>
      <w:r w:rsidR="00561AF1"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984D2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12</w:t>
      </w:r>
      <w:r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0C375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565D7B" w:rsidRPr="000C375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įstatymo 36 str. </w:t>
      </w:r>
      <w:r w:rsidR="00A51DA5" w:rsidRPr="000C375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565D7B" w:rsidRPr="000C375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</w:t>
      </w:r>
      <w:r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C375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tarptau</w:t>
      </w:r>
      <w:r w:rsidR="004351ED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tin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r w:rsidR="004351ED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7B4C25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viešojo pirkimo </w:t>
      </w:r>
      <w:r w:rsidR="00561AF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„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Dainų slėnio, Šilo g. 2, Alytuje, sutvarkymo techninio darbo projekto parengimo su projekto vykdymo priežiūra paslaugos</w:t>
      </w:r>
      <w:r w:rsidR="00561AF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0963E5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51ED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atviro konkurso</w:t>
      </w:r>
      <w:r w:rsidR="000963E5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būdu bendrųjų sąlygų (toliau – bendrosios pirkimo sąlygos), 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patvirtintų komisijos 202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03</w:t>
      </w:r>
      <w:r w:rsidR="00561AF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04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561AF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963E5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5.</w:t>
      </w:r>
      <w:r w:rsidR="005F0C88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>2</w:t>
      </w:r>
      <w:r w:rsidR="000963E5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  <w:t xml:space="preserve"> p., 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gaut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</w:t>
      </w:r>
      <w:r w:rsidR="00561AF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j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0963E5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C77B88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pranešim</w:t>
      </w:r>
      <w:r w:rsidR="001433E1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243E" w:rsidRPr="001433E1">
        <w:rPr>
          <w:rFonts w:ascii="Arial" w:hAnsi="Arial" w:cs="Arial"/>
          <w:color w:val="000000" w:themeColor="text1"/>
          <w:sz w:val="24"/>
          <w:szCs w:val="24"/>
        </w:rPr>
        <w:t>„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</w:rPr>
        <w:t>Numatytoji statybos kaina</w:t>
      </w:r>
      <w:r w:rsidR="0013243E" w:rsidRPr="001433E1">
        <w:rPr>
          <w:rFonts w:ascii="Arial" w:hAnsi="Arial" w:cs="Arial"/>
          <w:color w:val="000000" w:themeColor="text1"/>
          <w:sz w:val="24"/>
          <w:szCs w:val="24"/>
        </w:rPr>
        <w:t>“ (p</w:t>
      </w:r>
      <w:r w:rsidR="00ED51AB" w:rsidRPr="001433E1">
        <w:rPr>
          <w:rFonts w:ascii="Arial" w:hAnsi="Arial" w:cs="Arial"/>
          <w:color w:val="000000" w:themeColor="text1"/>
          <w:sz w:val="24"/>
          <w:szCs w:val="24"/>
        </w:rPr>
        <w:t>ranešim</w:t>
      </w:r>
      <w:r w:rsidR="003C6D40" w:rsidRPr="001433E1">
        <w:rPr>
          <w:rFonts w:ascii="Arial" w:hAnsi="Arial" w:cs="Arial"/>
          <w:color w:val="000000" w:themeColor="text1"/>
          <w:sz w:val="24"/>
          <w:szCs w:val="24"/>
        </w:rPr>
        <w:t>o ID</w:t>
      </w:r>
      <w:r w:rsidR="00ED51AB" w:rsidRPr="00143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</w:rPr>
        <w:t>567551</w:t>
      </w:r>
      <w:r w:rsidR="0013243E" w:rsidRPr="001433E1">
        <w:rPr>
          <w:rFonts w:ascii="Arial" w:hAnsi="Arial" w:cs="Arial"/>
          <w:color w:val="000000" w:themeColor="text1"/>
          <w:sz w:val="24"/>
          <w:szCs w:val="24"/>
        </w:rPr>
        <w:t>)</w:t>
      </w:r>
      <w:r w:rsidR="00ED51AB" w:rsidRPr="001433E1">
        <w:rPr>
          <w:rFonts w:ascii="Arial" w:hAnsi="Arial" w:cs="Arial"/>
          <w:color w:val="000000" w:themeColor="text1"/>
          <w:sz w:val="24"/>
          <w:szCs w:val="24"/>
        </w:rPr>
        <w:t xml:space="preserve">, pateiktas </w:t>
      </w:r>
      <w:r w:rsidR="00B505BC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202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="00B505BC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03</w:t>
      </w:r>
      <w:r w:rsidR="00B505BC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12</w:t>
      </w:r>
      <w:r w:rsidR="00AC79EA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AC79EA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="001433E1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36</w:t>
      </w:r>
      <w:r w:rsidR="00F8565F" w:rsidRPr="001433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val.</w:t>
      </w:r>
      <w:r w:rsidR="000122E2" w:rsidRPr="000122E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0122E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ir </w:t>
      </w:r>
      <w:r w:rsidR="000122E2" w:rsidRPr="001433E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teikia atsakymą:</w:t>
      </w:r>
    </w:p>
    <w:p w14:paraId="56BBC020" w14:textId="77777777" w:rsidR="000122E2" w:rsidRDefault="001433E1" w:rsidP="000122E2">
      <w:pPr>
        <w:spacing w:after="0" w:line="240" w:lineRule="auto"/>
        <w:ind w:firstLine="1298"/>
        <w:rPr>
          <w:rFonts w:ascii="Arial" w:eastAsia="Aptos" w:hAnsi="Arial" w:cs="Arial"/>
          <w:b/>
          <w:bCs/>
          <w:color w:val="000000" w:themeColor="text1"/>
          <w:kern w:val="0"/>
          <w:sz w:val="24"/>
          <w:szCs w:val="24"/>
        </w:rPr>
      </w:pPr>
      <w:r w:rsidRPr="001433E1">
        <w:rPr>
          <w:rFonts w:ascii="Arial" w:eastAsia="Aptos" w:hAnsi="Arial" w:cs="Arial"/>
          <w:b/>
          <w:bCs/>
          <w:color w:val="000000" w:themeColor="text1"/>
          <w:kern w:val="0"/>
          <w:sz w:val="24"/>
          <w:szCs w:val="24"/>
        </w:rPr>
        <w:t>Klausimas.</w:t>
      </w:r>
    </w:p>
    <w:p w14:paraId="332674BE" w14:textId="09066BAD" w:rsidR="00984D25" w:rsidRPr="000122E2" w:rsidRDefault="000122E2" w:rsidP="000122E2">
      <w:pPr>
        <w:spacing w:after="0" w:line="240" w:lineRule="auto"/>
        <w:ind w:firstLine="1298"/>
        <w:jc w:val="both"/>
        <w:rPr>
          <w:rFonts w:ascii="Arial" w:eastAsia="Aptos" w:hAnsi="Arial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Arial" w:eastAsia="Aptos" w:hAnsi="Arial" w:cs="Arial"/>
          <w:color w:val="000000" w:themeColor="text1"/>
          <w:kern w:val="0"/>
          <w:sz w:val="24"/>
          <w:szCs w:val="24"/>
        </w:rPr>
        <w:t>„</w:t>
      </w:r>
      <w:r w:rsidR="00984D25" w:rsidRPr="001433E1">
        <w:rPr>
          <w:rFonts w:ascii="Arial" w:eastAsia="Aptos" w:hAnsi="Arial" w:cs="Arial"/>
          <w:color w:val="000000" w:themeColor="text1"/>
          <w:kern w:val="0"/>
          <w:sz w:val="24"/>
          <w:szCs w:val="24"/>
        </w:rPr>
        <w:t>koks projekto statybos darbų biudžetas?</w:t>
      </w:r>
      <w:r>
        <w:rPr>
          <w:rFonts w:ascii="Arial" w:eastAsia="Aptos" w:hAnsi="Arial" w:cs="Arial"/>
          <w:color w:val="000000" w:themeColor="text1"/>
          <w:kern w:val="0"/>
          <w:sz w:val="24"/>
          <w:szCs w:val="24"/>
        </w:rPr>
        <w:t xml:space="preserve"> </w:t>
      </w:r>
      <w:r w:rsidR="00984D25" w:rsidRPr="001433E1">
        <w:rPr>
          <w:rFonts w:ascii="Arial" w:eastAsia="Aptos" w:hAnsi="Arial" w:cs="Arial"/>
          <w:color w:val="000000" w:themeColor="text1"/>
          <w:kern w:val="0"/>
          <w:sz w:val="24"/>
          <w:szCs w:val="24"/>
        </w:rPr>
        <w:t>Ar projektui skirto biudžetas neviršys 1500000 Eur su PVM pastatui? Klausiame dėl privalomų BIM reikalavimų pagal "nutarimas DĖL STATINIO INFORMACINIO MODELIAVIMO METODŲ TAIKYMO atvejų nustatymo" reikalavimus.</w:t>
      </w:r>
      <w:r>
        <w:rPr>
          <w:rFonts w:ascii="Arial" w:eastAsia="Aptos" w:hAnsi="Arial" w:cs="Arial"/>
          <w:color w:val="000000" w:themeColor="text1"/>
          <w:kern w:val="0"/>
          <w:sz w:val="24"/>
          <w:szCs w:val="24"/>
        </w:rPr>
        <w:t>“</w:t>
      </w:r>
    </w:p>
    <w:p w14:paraId="6D5FBE0B" w14:textId="77777777" w:rsidR="000122E2" w:rsidRDefault="00AC79EA" w:rsidP="000122E2">
      <w:pPr>
        <w:spacing w:after="0" w:line="240" w:lineRule="auto"/>
        <w:ind w:left="129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33E1">
        <w:rPr>
          <w:rFonts w:ascii="Arial" w:eastAsia="Aptos" w:hAnsi="Arial" w:cs="Arial"/>
          <w:b/>
          <w:bCs/>
          <w:color w:val="000000" w:themeColor="text1"/>
          <w:kern w:val="0"/>
          <w:sz w:val="24"/>
          <w:szCs w:val="24"/>
        </w:rPr>
        <w:t>Atsakymas.</w:t>
      </w:r>
      <w:r w:rsidR="000C3756" w:rsidRPr="001433E1">
        <w:rPr>
          <w:rFonts w:ascii="Arial" w:eastAsia="Aptos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14:paraId="7B90F64C" w14:textId="5DB2CDA7" w:rsidR="00984D25" w:rsidRPr="00984D25" w:rsidRDefault="006B535A" w:rsidP="000122E2">
      <w:pPr>
        <w:spacing w:after="0" w:line="240" w:lineRule="auto"/>
        <w:ind w:firstLine="129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Atkreipiame dėmesį, kad šiame pirkime neperkamas pastatų projektavimas. </w:t>
      </w:r>
      <w:r w:rsidR="00984D25" w:rsidRPr="00984D25">
        <w:rPr>
          <w:rFonts w:ascii="Arial" w:hAnsi="Arial" w:cs="Arial"/>
          <w:color w:val="000000" w:themeColor="text1"/>
          <w:sz w:val="24"/>
          <w:szCs w:val="24"/>
        </w:rPr>
        <w:t>Vadovaujantis Lietuvos Respublikos Vyriausybės nutarimu Nr. 1061 „Dėl statinio informacinio modeliavimo metodų taikymo atvejų nustatymo“</w:t>
      </w:r>
      <w:r w:rsidR="00C638F5">
        <w:rPr>
          <w:rFonts w:ascii="Arial" w:hAnsi="Arial" w:cs="Arial"/>
          <w:color w:val="000000" w:themeColor="text1"/>
          <w:sz w:val="24"/>
          <w:szCs w:val="24"/>
        </w:rPr>
        <w:t>,</w:t>
      </w:r>
      <w:r w:rsidR="00984D25" w:rsidRPr="00984D25">
        <w:rPr>
          <w:rFonts w:ascii="Arial" w:hAnsi="Arial" w:cs="Arial"/>
          <w:color w:val="000000" w:themeColor="text1"/>
          <w:sz w:val="24"/>
          <w:szCs w:val="24"/>
        </w:rPr>
        <w:t xml:space="preserve"> planuojant ir vykdant projektą bus laikomasi prielaidos, kad statybos darbų vertė neviršys </w:t>
      </w:r>
      <w:r w:rsidR="00C638F5">
        <w:rPr>
          <w:rFonts w:ascii="Arial" w:hAnsi="Arial" w:cs="Arial"/>
          <w:color w:val="000000" w:themeColor="text1"/>
          <w:sz w:val="24"/>
          <w:szCs w:val="24"/>
        </w:rPr>
        <w:t xml:space="preserve">nutarime </w:t>
      </w:r>
      <w:r w:rsidR="00984D25" w:rsidRPr="00984D25">
        <w:rPr>
          <w:rFonts w:ascii="Arial" w:hAnsi="Arial" w:cs="Arial"/>
          <w:color w:val="000000" w:themeColor="text1"/>
          <w:sz w:val="24"/>
          <w:szCs w:val="24"/>
        </w:rPr>
        <w:t>nurodyt</w:t>
      </w:r>
      <w:r w:rsidR="00400EE3">
        <w:rPr>
          <w:rFonts w:ascii="Arial" w:hAnsi="Arial" w:cs="Arial"/>
          <w:color w:val="000000" w:themeColor="text1"/>
          <w:sz w:val="24"/>
          <w:szCs w:val="24"/>
        </w:rPr>
        <w:t>ų</w:t>
      </w:r>
      <w:r w:rsidR="00984D25" w:rsidRPr="00984D25">
        <w:rPr>
          <w:rFonts w:ascii="Arial" w:hAnsi="Arial" w:cs="Arial"/>
          <w:color w:val="000000" w:themeColor="text1"/>
          <w:sz w:val="24"/>
          <w:szCs w:val="24"/>
        </w:rPr>
        <w:t xml:space="preserve"> rib</w:t>
      </w:r>
      <w:r w:rsidR="00400EE3">
        <w:rPr>
          <w:rFonts w:ascii="Arial" w:hAnsi="Arial" w:cs="Arial"/>
          <w:color w:val="000000" w:themeColor="text1"/>
          <w:sz w:val="24"/>
          <w:szCs w:val="24"/>
        </w:rPr>
        <w:t>ų</w:t>
      </w:r>
      <w:r w:rsidR="00984D25" w:rsidRPr="00984D25">
        <w:rPr>
          <w:rFonts w:ascii="Arial" w:hAnsi="Arial" w:cs="Arial"/>
          <w:color w:val="000000" w:themeColor="text1"/>
          <w:sz w:val="24"/>
          <w:szCs w:val="24"/>
        </w:rPr>
        <w:t>, todėl BIM reikalavimai nebus keliami.</w:t>
      </w:r>
    </w:p>
    <w:p w14:paraId="6B6C890B" w14:textId="77777777" w:rsidR="00EC2E62" w:rsidRPr="006461F6" w:rsidRDefault="00EC2E62" w:rsidP="004812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14:paraId="2E272DFE" w14:textId="77777777" w:rsidR="004812F4" w:rsidRPr="006461F6" w:rsidRDefault="004812F4" w:rsidP="004812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EFA4E" w14:textId="7B591E2D" w:rsidR="00683767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1F6">
        <w:rPr>
          <w:rFonts w:ascii="Arial" w:hAnsi="Arial" w:cs="Arial"/>
          <w:sz w:val="24"/>
          <w:szCs w:val="24"/>
        </w:rPr>
        <w:t xml:space="preserve">Viešųjų pirkimų </w:t>
      </w:r>
      <w:r w:rsidR="00E3682D" w:rsidRPr="006461F6">
        <w:rPr>
          <w:rFonts w:ascii="Arial" w:hAnsi="Arial" w:cs="Arial"/>
          <w:sz w:val="24"/>
          <w:szCs w:val="24"/>
        </w:rPr>
        <w:t xml:space="preserve">skyriaus </w:t>
      </w:r>
      <w:r w:rsidR="00E3682D">
        <w:rPr>
          <w:rFonts w:ascii="Arial" w:hAnsi="Arial" w:cs="Arial"/>
          <w:sz w:val="24"/>
          <w:szCs w:val="24"/>
        </w:rPr>
        <w:t xml:space="preserve">vyriausioji specialistė </w:t>
      </w:r>
      <w:r w:rsidR="00E3682D">
        <w:rPr>
          <w:rFonts w:ascii="Arial" w:hAnsi="Arial" w:cs="Arial"/>
          <w:sz w:val="24"/>
          <w:szCs w:val="24"/>
        </w:rPr>
        <w:tab/>
      </w:r>
      <w:r w:rsidR="00E3682D">
        <w:rPr>
          <w:rFonts w:ascii="Arial" w:hAnsi="Arial" w:cs="Arial"/>
          <w:sz w:val="24"/>
          <w:szCs w:val="24"/>
        </w:rPr>
        <w:tab/>
      </w:r>
      <w:r w:rsidR="00E3682D">
        <w:rPr>
          <w:rFonts w:ascii="Arial" w:hAnsi="Arial" w:cs="Arial"/>
          <w:sz w:val="24"/>
          <w:szCs w:val="24"/>
        </w:rPr>
        <w:tab/>
      </w:r>
      <w:r w:rsidR="00E3682D">
        <w:rPr>
          <w:rFonts w:ascii="Arial" w:hAnsi="Arial" w:cs="Arial"/>
          <w:sz w:val="24"/>
          <w:szCs w:val="24"/>
        </w:rPr>
        <w:tab/>
      </w:r>
      <w:r w:rsidR="000122E2">
        <w:rPr>
          <w:rFonts w:ascii="Arial" w:hAnsi="Arial" w:cs="Arial"/>
          <w:sz w:val="24"/>
          <w:szCs w:val="24"/>
        </w:rPr>
        <w:tab/>
        <w:t xml:space="preserve">      </w:t>
      </w:r>
      <w:r w:rsidR="00E3682D">
        <w:rPr>
          <w:rFonts w:ascii="Arial" w:hAnsi="Arial" w:cs="Arial"/>
          <w:sz w:val="24"/>
          <w:szCs w:val="24"/>
        </w:rPr>
        <w:t>Lina Rulienė</w:t>
      </w:r>
      <w:r w:rsidRPr="006461F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80360" w:rsidRPr="006461F6">
        <w:rPr>
          <w:rFonts w:ascii="Arial" w:hAnsi="Arial" w:cs="Arial"/>
          <w:sz w:val="24"/>
          <w:szCs w:val="24"/>
        </w:rPr>
        <w:t xml:space="preserve">  </w:t>
      </w:r>
      <w:r w:rsidRPr="006461F6">
        <w:rPr>
          <w:rFonts w:ascii="Arial" w:hAnsi="Arial" w:cs="Arial"/>
          <w:sz w:val="24"/>
          <w:szCs w:val="24"/>
        </w:rPr>
        <w:t xml:space="preserve"> </w:t>
      </w:r>
    </w:p>
    <w:p w14:paraId="639BD3A7" w14:textId="77777777" w:rsidR="00BB273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24758" w14:textId="77777777" w:rsidR="00BB273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C04AD6" w14:textId="77777777" w:rsidR="00BB273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09F4CA" w14:textId="77777777" w:rsidR="00BB273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1CF7F" w14:textId="77777777" w:rsidR="00BB273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8B765" w14:textId="77777777" w:rsidR="00BB2736" w:rsidRPr="006461F6" w:rsidRDefault="00BB273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B2736" w:rsidRPr="006461F6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DBE"/>
    <w:multiLevelType w:val="multilevel"/>
    <w:tmpl w:val="562E958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1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1322C73"/>
    <w:multiLevelType w:val="multilevel"/>
    <w:tmpl w:val="9570693C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4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BD3B9D"/>
    <w:multiLevelType w:val="multilevel"/>
    <w:tmpl w:val="8A0C5A40"/>
    <w:lvl w:ilvl="0">
      <w:start w:val="1"/>
      <w:numFmt w:val="decimal"/>
      <w:lvlText w:val="%1."/>
      <w:lvlJc w:val="left"/>
      <w:pPr>
        <w:ind w:left="408" w:hanging="408"/>
      </w:pPr>
      <w:rPr>
        <w:rFonts w:eastAsia="Aptos" w:hint="default"/>
        <w:b/>
      </w:rPr>
    </w:lvl>
    <w:lvl w:ilvl="1">
      <w:start w:val="1"/>
      <w:numFmt w:val="decimal"/>
      <w:lvlText w:val="%1.%2."/>
      <w:lvlJc w:val="left"/>
      <w:pPr>
        <w:ind w:left="2018" w:hanging="720"/>
      </w:pPr>
      <w:rPr>
        <w:rFonts w:eastAsia="Aptos" w:hint="default"/>
        <w:b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eastAsia="Aptos" w:hint="default"/>
        <w:b/>
      </w:rPr>
    </w:lvl>
    <w:lvl w:ilvl="3">
      <w:start w:val="1"/>
      <w:numFmt w:val="decimal"/>
      <w:lvlText w:val="%1.%2.%3.%4."/>
      <w:lvlJc w:val="left"/>
      <w:pPr>
        <w:ind w:left="4974" w:hanging="1080"/>
      </w:pPr>
      <w:rPr>
        <w:rFonts w:eastAsia="Aptos" w:hint="default"/>
        <w:b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eastAsia="Aptos" w:hint="default"/>
        <w:b/>
      </w:rPr>
    </w:lvl>
    <w:lvl w:ilvl="5">
      <w:start w:val="1"/>
      <w:numFmt w:val="decimal"/>
      <w:lvlText w:val="%1.%2.%3.%4.%5.%6."/>
      <w:lvlJc w:val="left"/>
      <w:pPr>
        <w:ind w:left="7930" w:hanging="1440"/>
      </w:pPr>
      <w:rPr>
        <w:rFonts w:eastAsia="Aptos" w:hint="default"/>
        <w:b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eastAsia="Aptos" w:hint="default"/>
        <w:b/>
      </w:rPr>
    </w:lvl>
    <w:lvl w:ilvl="7">
      <w:start w:val="1"/>
      <w:numFmt w:val="decimal"/>
      <w:lvlText w:val="%1.%2.%3.%4.%5.%6.%7.%8."/>
      <w:lvlJc w:val="left"/>
      <w:pPr>
        <w:ind w:left="10886" w:hanging="1800"/>
      </w:pPr>
      <w:rPr>
        <w:rFonts w:eastAsia="Aptos" w:hint="default"/>
        <w:b/>
      </w:rPr>
    </w:lvl>
    <w:lvl w:ilvl="8">
      <w:start w:val="1"/>
      <w:numFmt w:val="decimal"/>
      <w:lvlText w:val="%1.%2.%3.%4.%5.%6.%7.%8.%9."/>
      <w:lvlJc w:val="left"/>
      <w:pPr>
        <w:ind w:left="12544" w:hanging="2160"/>
      </w:pPr>
      <w:rPr>
        <w:rFonts w:eastAsia="Aptos" w:hint="default"/>
        <w:b/>
      </w:rPr>
    </w:lvl>
  </w:abstractNum>
  <w:abstractNum w:abstractNumId="11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986135"/>
    <w:multiLevelType w:val="hybridMultilevel"/>
    <w:tmpl w:val="6F325F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985549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252611">
    <w:abstractNumId w:val="8"/>
  </w:num>
  <w:num w:numId="3" w16cid:durableId="380831471">
    <w:abstractNumId w:val="2"/>
  </w:num>
  <w:num w:numId="4" w16cid:durableId="565722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82191">
    <w:abstractNumId w:val="1"/>
  </w:num>
  <w:num w:numId="6" w16cid:durableId="1308046724">
    <w:abstractNumId w:val="7"/>
  </w:num>
  <w:num w:numId="7" w16cid:durableId="885214958">
    <w:abstractNumId w:val="11"/>
  </w:num>
  <w:num w:numId="8" w16cid:durableId="1445150155">
    <w:abstractNumId w:val="6"/>
  </w:num>
  <w:num w:numId="9" w16cid:durableId="97063283">
    <w:abstractNumId w:val="14"/>
  </w:num>
  <w:num w:numId="10" w16cid:durableId="945773424">
    <w:abstractNumId w:val="4"/>
  </w:num>
  <w:num w:numId="11" w16cid:durableId="1800147553">
    <w:abstractNumId w:val="13"/>
  </w:num>
  <w:num w:numId="12" w16cid:durableId="427771899">
    <w:abstractNumId w:val="9"/>
  </w:num>
  <w:num w:numId="13" w16cid:durableId="75245367">
    <w:abstractNumId w:val="3"/>
  </w:num>
  <w:num w:numId="14" w16cid:durableId="1024359753">
    <w:abstractNumId w:val="12"/>
  </w:num>
  <w:num w:numId="15" w16cid:durableId="1226454767">
    <w:abstractNumId w:val="0"/>
  </w:num>
  <w:num w:numId="16" w16cid:durableId="151495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22E2"/>
    <w:rsid w:val="00013AE9"/>
    <w:rsid w:val="000217EE"/>
    <w:rsid w:val="00021E10"/>
    <w:rsid w:val="000277A5"/>
    <w:rsid w:val="00036A7C"/>
    <w:rsid w:val="000756B5"/>
    <w:rsid w:val="00080360"/>
    <w:rsid w:val="0008495D"/>
    <w:rsid w:val="000963E5"/>
    <w:rsid w:val="00097EC4"/>
    <w:rsid w:val="000A378C"/>
    <w:rsid w:val="000C3756"/>
    <w:rsid w:val="000C6C09"/>
    <w:rsid w:val="000D3866"/>
    <w:rsid w:val="000D767C"/>
    <w:rsid w:val="000E142F"/>
    <w:rsid w:val="000E2B9C"/>
    <w:rsid w:val="000F4953"/>
    <w:rsid w:val="001010FD"/>
    <w:rsid w:val="00116C9C"/>
    <w:rsid w:val="00123220"/>
    <w:rsid w:val="00123308"/>
    <w:rsid w:val="00126D7D"/>
    <w:rsid w:val="0013243E"/>
    <w:rsid w:val="001433E1"/>
    <w:rsid w:val="00173CA6"/>
    <w:rsid w:val="001758B4"/>
    <w:rsid w:val="001821CB"/>
    <w:rsid w:val="00184DCA"/>
    <w:rsid w:val="00191D0D"/>
    <w:rsid w:val="001A0B00"/>
    <w:rsid w:val="001A618D"/>
    <w:rsid w:val="001D57C9"/>
    <w:rsid w:val="001E2702"/>
    <w:rsid w:val="001E3357"/>
    <w:rsid w:val="001E5096"/>
    <w:rsid w:val="00217D9E"/>
    <w:rsid w:val="00240DED"/>
    <w:rsid w:val="002538E4"/>
    <w:rsid w:val="0025568B"/>
    <w:rsid w:val="00257413"/>
    <w:rsid w:val="00263E4E"/>
    <w:rsid w:val="002B58B2"/>
    <w:rsid w:val="002D77BD"/>
    <w:rsid w:val="002E1FA6"/>
    <w:rsid w:val="002E5A41"/>
    <w:rsid w:val="002F0F2E"/>
    <w:rsid w:val="0030200C"/>
    <w:rsid w:val="00307E87"/>
    <w:rsid w:val="003213DC"/>
    <w:rsid w:val="00323AAC"/>
    <w:rsid w:val="0033687C"/>
    <w:rsid w:val="00364751"/>
    <w:rsid w:val="003679E3"/>
    <w:rsid w:val="00385AF2"/>
    <w:rsid w:val="003A194E"/>
    <w:rsid w:val="003B511C"/>
    <w:rsid w:val="003C6D40"/>
    <w:rsid w:val="003C6F57"/>
    <w:rsid w:val="003C7FAC"/>
    <w:rsid w:val="003D238B"/>
    <w:rsid w:val="003F28CA"/>
    <w:rsid w:val="00400EE3"/>
    <w:rsid w:val="00401BDE"/>
    <w:rsid w:val="0041054B"/>
    <w:rsid w:val="0042169F"/>
    <w:rsid w:val="004351ED"/>
    <w:rsid w:val="00440738"/>
    <w:rsid w:val="00442DF5"/>
    <w:rsid w:val="0045719A"/>
    <w:rsid w:val="00464B00"/>
    <w:rsid w:val="00467677"/>
    <w:rsid w:val="00471C59"/>
    <w:rsid w:val="00472A8D"/>
    <w:rsid w:val="004812F4"/>
    <w:rsid w:val="004A42DA"/>
    <w:rsid w:val="004B28E8"/>
    <w:rsid w:val="004B3369"/>
    <w:rsid w:val="004B6732"/>
    <w:rsid w:val="004C04A9"/>
    <w:rsid w:val="004C6469"/>
    <w:rsid w:val="004C687F"/>
    <w:rsid w:val="004C6FA1"/>
    <w:rsid w:val="004D3B0C"/>
    <w:rsid w:val="004D518E"/>
    <w:rsid w:val="004D7729"/>
    <w:rsid w:val="005204CF"/>
    <w:rsid w:val="005258EF"/>
    <w:rsid w:val="005378CA"/>
    <w:rsid w:val="00547452"/>
    <w:rsid w:val="00552494"/>
    <w:rsid w:val="00561AF1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461F6"/>
    <w:rsid w:val="006471A9"/>
    <w:rsid w:val="0066558B"/>
    <w:rsid w:val="00672A56"/>
    <w:rsid w:val="00683767"/>
    <w:rsid w:val="006A4B33"/>
    <w:rsid w:val="006A7BEA"/>
    <w:rsid w:val="006B535A"/>
    <w:rsid w:val="006B58EC"/>
    <w:rsid w:val="006B6EFB"/>
    <w:rsid w:val="006C18DC"/>
    <w:rsid w:val="006C33EF"/>
    <w:rsid w:val="006C3ED7"/>
    <w:rsid w:val="006C4CB6"/>
    <w:rsid w:val="006C5E83"/>
    <w:rsid w:val="006D6463"/>
    <w:rsid w:val="006D7E31"/>
    <w:rsid w:val="006E768C"/>
    <w:rsid w:val="007031D0"/>
    <w:rsid w:val="00707077"/>
    <w:rsid w:val="0072055B"/>
    <w:rsid w:val="007219CC"/>
    <w:rsid w:val="00730F90"/>
    <w:rsid w:val="00731C98"/>
    <w:rsid w:val="007358A5"/>
    <w:rsid w:val="00743BE3"/>
    <w:rsid w:val="00744704"/>
    <w:rsid w:val="007457E7"/>
    <w:rsid w:val="00745F04"/>
    <w:rsid w:val="00753ECD"/>
    <w:rsid w:val="00770704"/>
    <w:rsid w:val="00776205"/>
    <w:rsid w:val="007840A3"/>
    <w:rsid w:val="00786747"/>
    <w:rsid w:val="0079142A"/>
    <w:rsid w:val="007B4C25"/>
    <w:rsid w:val="007C2209"/>
    <w:rsid w:val="007C29DA"/>
    <w:rsid w:val="007E02B4"/>
    <w:rsid w:val="007F36AB"/>
    <w:rsid w:val="007F56DF"/>
    <w:rsid w:val="008052AC"/>
    <w:rsid w:val="008074D4"/>
    <w:rsid w:val="0082019E"/>
    <w:rsid w:val="008263EF"/>
    <w:rsid w:val="00840EEC"/>
    <w:rsid w:val="00855E89"/>
    <w:rsid w:val="00857947"/>
    <w:rsid w:val="00864540"/>
    <w:rsid w:val="00866D53"/>
    <w:rsid w:val="00880C90"/>
    <w:rsid w:val="00893119"/>
    <w:rsid w:val="00894C9C"/>
    <w:rsid w:val="008A24B5"/>
    <w:rsid w:val="008C3A84"/>
    <w:rsid w:val="008F009F"/>
    <w:rsid w:val="008F2631"/>
    <w:rsid w:val="008F4840"/>
    <w:rsid w:val="008F5626"/>
    <w:rsid w:val="00906E77"/>
    <w:rsid w:val="00921081"/>
    <w:rsid w:val="00926343"/>
    <w:rsid w:val="009266AD"/>
    <w:rsid w:val="0093279D"/>
    <w:rsid w:val="00941A61"/>
    <w:rsid w:val="00942958"/>
    <w:rsid w:val="00954C42"/>
    <w:rsid w:val="0095544C"/>
    <w:rsid w:val="009727B9"/>
    <w:rsid w:val="009818A9"/>
    <w:rsid w:val="00982C15"/>
    <w:rsid w:val="00984D25"/>
    <w:rsid w:val="00992522"/>
    <w:rsid w:val="00994A09"/>
    <w:rsid w:val="00995028"/>
    <w:rsid w:val="00995EFB"/>
    <w:rsid w:val="009B399F"/>
    <w:rsid w:val="009C44F1"/>
    <w:rsid w:val="00A040D6"/>
    <w:rsid w:val="00A31ABA"/>
    <w:rsid w:val="00A35E2C"/>
    <w:rsid w:val="00A402B0"/>
    <w:rsid w:val="00A51DA5"/>
    <w:rsid w:val="00A557A5"/>
    <w:rsid w:val="00A66911"/>
    <w:rsid w:val="00A84495"/>
    <w:rsid w:val="00A91965"/>
    <w:rsid w:val="00A92CC8"/>
    <w:rsid w:val="00A93EA7"/>
    <w:rsid w:val="00AA4B7A"/>
    <w:rsid w:val="00AB13FE"/>
    <w:rsid w:val="00AB616A"/>
    <w:rsid w:val="00AC237B"/>
    <w:rsid w:val="00AC317A"/>
    <w:rsid w:val="00AC79EA"/>
    <w:rsid w:val="00AD6166"/>
    <w:rsid w:val="00AF640C"/>
    <w:rsid w:val="00B13F41"/>
    <w:rsid w:val="00B248F2"/>
    <w:rsid w:val="00B271B7"/>
    <w:rsid w:val="00B31383"/>
    <w:rsid w:val="00B34E98"/>
    <w:rsid w:val="00B505BC"/>
    <w:rsid w:val="00B636DE"/>
    <w:rsid w:val="00B804F8"/>
    <w:rsid w:val="00B84ECE"/>
    <w:rsid w:val="00B97333"/>
    <w:rsid w:val="00BA05FA"/>
    <w:rsid w:val="00BB2736"/>
    <w:rsid w:val="00BD6893"/>
    <w:rsid w:val="00BE11C6"/>
    <w:rsid w:val="00BF1D97"/>
    <w:rsid w:val="00BF7722"/>
    <w:rsid w:val="00C01036"/>
    <w:rsid w:val="00C16F10"/>
    <w:rsid w:val="00C203A8"/>
    <w:rsid w:val="00C42146"/>
    <w:rsid w:val="00C53722"/>
    <w:rsid w:val="00C638F5"/>
    <w:rsid w:val="00C77B88"/>
    <w:rsid w:val="00C83FF5"/>
    <w:rsid w:val="00CB423C"/>
    <w:rsid w:val="00CB4D3A"/>
    <w:rsid w:val="00CB75BE"/>
    <w:rsid w:val="00CC6712"/>
    <w:rsid w:val="00CF1229"/>
    <w:rsid w:val="00CF23A5"/>
    <w:rsid w:val="00D01409"/>
    <w:rsid w:val="00D01C23"/>
    <w:rsid w:val="00D1071B"/>
    <w:rsid w:val="00D25C9D"/>
    <w:rsid w:val="00D30424"/>
    <w:rsid w:val="00D32BED"/>
    <w:rsid w:val="00D41B82"/>
    <w:rsid w:val="00D578AC"/>
    <w:rsid w:val="00D84041"/>
    <w:rsid w:val="00DB138D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7DEC"/>
    <w:rsid w:val="00E3682D"/>
    <w:rsid w:val="00E42918"/>
    <w:rsid w:val="00E56725"/>
    <w:rsid w:val="00E60F89"/>
    <w:rsid w:val="00E63C7F"/>
    <w:rsid w:val="00E83510"/>
    <w:rsid w:val="00E94E5C"/>
    <w:rsid w:val="00EC0FCB"/>
    <w:rsid w:val="00EC2E62"/>
    <w:rsid w:val="00ED51AB"/>
    <w:rsid w:val="00EE1235"/>
    <w:rsid w:val="00EE2A4A"/>
    <w:rsid w:val="00EF35B4"/>
    <w:rsid w:val="00EF4B8C"/>
    <w:rsid w:val="00F01BE7"/>
    <w:rsid w:val="00F0345F"/>
    <w:rsid w:val="00F06F5C"/>
    <w:rsid w:val="00F1055A"/>
    <w:rsid w:val="00F11352"/>
    <w:rsid w:val="00F12177"/>
    <w:rsid w:val="00F15577"/>
    <w:rsid w:val="00F171CA"/>
    <w:rsid w:val="00F263FE"/>
    <w:rsid w:val="00F320C0"/>
    <w:rsid w:val="00F4650D"/>
    <w:rsid w:val="00F618CD"/>
    <w:rsid w:val="00F67697"/>
    <w:rsid w:val="00F72DAC"/>
    <w:rsid w:val="00F8565F"/>
    <w:rsid w:val="00F92B51"/>
    <w:rsid w:val="00F95D15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Lina Vida Rulienė</cp:lastModifiedBy>
  <cp:revision>2</cp:revision>
  <cp:lastPrinted>2025-12-05T12:41:00Z</cp:lastPrinted>
  <dcterms:created xsi:type="dcterms:W3CDTF">2026-03-12T13:31:00Z</dcterms:created>
  <dcterms:modified xsi:type="dcterms:W3CDTF">2026-03-12T13:31:00Z</dcterms:modified>
</cp:coreProperties>
</file>