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4312"/>
        <w:gridCol w:w="5316"/>
      </w:tblGrid>
      <w:tr w:rsidR="008079F1" w:rsidRPr="00DB3818" w14:paraId="68F87EBE" w14:textId="77777777" w:rsidTr="00B04704">
        <w:tc>
          <w:tcPr>
            <w:tcW w:w="4312" w:type="dxa"/>
          </w:tcPr>
          <w:p w14:paraId="19C7214C" w14:textId="038BC91A" w:rsidR="008079F1" w:rsidRPr="00DB3818" w:rsidRDefault="008079F1" w:rsidP="00B04704">
            <w:pPr>
              <w:jc w:val="both"/>
              <w:rPr>
                <w:rFonts w:ascii="Times New Roman" w:hAnsi="Times New Roman" w:cs="Times New Roman"/>
              </w:rPr>
            </w:pPr>
            <w:r w:rsidRPr="00DB3818">
              <w:rPr>
                <w:rFonts w:ascii="Times New Roman" w:hAnsi="Times New Roman" w:cs="Times New Roman"/>
              </w:rPr>
              <w:t>KLAUSIMAS (TURINYS NETAISYTAS)</w:t>
            </w:r>
          </w:p>
        </w:tc>
        <w:tc>
          <w:tcPr>
            <w:tcW w:w="5316" w:type="dxa"/>
          </w:tcPr>
          <w:p w14:paraId="07552852" w14:textId="2383FE39" w:rsidR="008079F1" w:rsidRPr="00DB3818" w:rsidRDefault="008079F1" w:rsidP="00B04704">
            <w:pPr>
              <w:jc w:val="both"/>
              <w:rPr>
                <w:rFonts w:ascii="Times New Roman" w:hAnsi="Times New Roman" w:cs="Times New Roman"/>
              </w:rPr>
            </w:pPr>
            <w:r w:rsidRPr="00DB3818">
              <w:rPr>
                <w:rFonts w:ascii="Times New Roman" w:hAnsi="Times New Roman" w:cs="Times New Roman"/>
              </w:rPr>
              <w:t>ATSAKYMAS</w:t>
            </w:r>
          </w:p>
        </w:tc>
      </w:tr>
      <w:tr w:rsidR="008079F1" w:rsidRPr="00DB3818" w14:paraId="7341B449" w14:textId="77777777" w:rsidTr="00B04704">
        <w:tc>
          <w:tcPr>
            <w:tcW w:w="4312" w:type="dxa"/>
          </w:tcPr>
          <w:p w14:paraId="20233EA1" w14:textId="53CF4208" w:rsidR="008079F1" w:rsidRPr="00DB3818" w:rsidRDefault="00DB3818" w:rsidP="00B04704">
            <w:pPr>
              <w:pStyle w:val="prastasiniatinklio"/>
              <w:numPr>
                <w:ilvl w:val="0"/>
                <w:numId w:val="1"/>
              </w:numPr>
              <w:spacing w:before="0" w:beforeAutospacing="0" w:after="0" w:afterAutospacing="0"/>
              <w:ind w:left="0" w:firstLine="0"/>
              <w:jc w:val="both"/>
              <w:rPr>
                <w:lang w:val="lt-LT"/>
              </w:rPr>
            </w:pPr>
            <w:r w:rsidRPr="00DB3818">
              <w:rPr>
                <w:lang w:val="lt-LT"/>
              </w:rPr>
              <w:t xml:space="preserve">Techninės specifikacijos 2026-03-13 atsakyme į klausimą Nr. 1 nurodyta, kad anaerobinėje zonoje turi būti naudojamos panardinamosios maišyklės. Atkreipiame dėmesį, kad biologinio nuotekų valymo technologijose anaerobinės zonos maišymas praktikoje dažnai užtikrinamas ne tik mechaninėmis maišyklėmis, bet ir kitais technologiniais sprendiniais, pavyzdžiui, hidrauliniu srautu, vidine </w:t>
            </w:r>
            <w:proofErr w:type="spellStart"/>
            <w:r w:rsidRPr="00DB3818">
              <w:rPr>
                <w:lang w:val="lt-LT"/>
              </w:rPr>
              <w:t>recirkuliacija</w:t>
            </w:r>
            <w:proofErr w:type="spellEnd"/>
            <w:r w:rsidRPr="00DB3818">
              <w:rPr>
                <w:lang w:val="lt-LT"/>
              </w:rPr>
              <w:t xml:space="preserve">, </w:t>
            </w:r>
            <w:proofErr w:type="spellStart"/>
            <w:r w:rsidRPr="00DB3818">
              <w:rPr>
                <w:lang w:val="lt-LT"/>
              </w:rPr>
              <w:t>erliftinėmis</w:t>
            </w:r>
            <w:proofErr w:type="spellEnd"/>
            <w:r w:rsidRPr="00DB3818">
              <w:rPr>
                <w:lang w:val="lt-LT"/>
              </w:rPr>
              <w:t xml:space="preserve"> sistemomis ar kitais technologiniais sprendimais, kurie užtikrina veikliojo mišinio maišymą be mechaninių įrenginių ir yra plačiai taikomi nuotekų valymo įrenginių projektavimo bei eksploatavimo praktikoje. Atsižvelgiant į tai, prašome patikslinti, </w:t>
            </w:r>
            <w:r w:rsidRPr="00DB3818">
              <w:rPr>
                <w:rStyle w:val="Grietas"/>
                <w:rFonts w:eastAsiaTheme="majorEastAsia"/>
                <w:lang w:val="lt-LT"/>
              </w:rPr>
              <w:t>ar Rangovas gali siūlyti technologiniu požiūriu lygiaverčius mišinio maišymo sprendinius</w:t>
            </w:r>
            <w:r w:rsidRPr="00DB3818">
              <w:rPr>
                <w:b/>
                <w:bCs/>
                <w:lang w:val="lt-LT"/>
              </w:rPr>
              <w:t xml:space="preserve">, </w:t>
            </w:r>
            <w:r w:rsidRPr="00DB3818">
              <w:rPr>
                <w:lang w:val="lt-LT"/>
              </w:rPr>
              <w:t xml:space="preserve">kurie užtikrina reikiamą veikliojo mišinio maišymo intensyvumą anaerobinėje zonoje, tačiau nenaudoja mechaninių panardinamųjų maišyklių, jei tokie sprendiniai užtikrina stabilų technologinio proceso veikimą ir projektinių valymo rodiklių pasiekimą. Taip pat prašome patikslinti, ar Techninės specifikacijos nuostata dėl panardinamųjų maišyklių </w:t>
            </w:r>
            <w:r w:rsidRPr="00DB3818">
              <w:rPr>
                <w:rStyle w:val="Grietas"/>
                <w:rFonts w:eastAsiaTheme="majorEastAsia"/>
                <w:lang w:val="lt-LT"/>
              </w:rPr>
              <w:t>neturėtų būti suprantama kaip funkcinis reikalavimas užtikrinti veikliojo mišinio maišymą anaerobinėje zonoje</w:t>
            </w:r>
            <w:r w:rsidRPr="00DB3818">
              <w:rPr>
                <w:b/>
                <w:bCs/>
                <w:lang w:val="lt-LT"/>
              </w:rPr>
              <w:t>,</w:t>
            </w:r>
            <w:r w:rsidRPr="00DB3818">
              <w:rPr>
                <w:lang w:val="lt-LT"/>
              </w:rPr>
              <w:t xml:space="preserve"> leidžiantis taikyti ir kitus lygiaverčius technologinius sprendinius, kurie užtikrina tą pačią funkciją.</w:t>
            </w:r>
          </w:p>
        </w:tc>
        <w:tc>
          <w:tcPr>
            <w:tcW w:w="5316" w:type="dxa"/>
          </w:tcPr>
          <w:p w14:paraId="4D2F52F7" w14:textId="3B42EA7B" w:rsidR="002D3328" w:rsidRPr="002D3328" w:rsidRDefault="002D3328" w:rsidP="00B04704">
            <w:pPr>
              <w:jc w:val="both"/>
              <w:rPr>
                <w:rFonts w:ascii="Times New Roman" w:hAnsi="Times New Roman" w:cs="Times New Roman"/>
              </w:rPr>
            </w:pPr>
            <w:r>
              <w:rPr>
                <w:rFonts w:ascii="Times New Roman" w:hAnsi="Times New Roman" w:cs="Times New Roman"/>
              </w:rPr>
              <w:t>Remiantis</w:t>
            </w:r>
            <w:r w:rsidRPr="002D3328">
              <w:rPr>
                <w:rFonts w:ascii="Times New Roman" w:hAnsi="Times New Roman" w:cs="Times New Roman"/>
              </w:rPr>
              <w:t xml:space="preserve"> </w:t>
            </w:r>
            <w:r>
              <w:rPr>
                <w:rFonts w:ascii="Times New Roman" w:hAnsi="Times New Roman" w:cs="Times New Roman"/>
              </w:rPr>
              <w:t xml:space="preserve">perkančiojo subjekto </w:t>
            </w:r>
            <w:r w:rsidRPr="002D3328">
              <w:rPr>
                <w:rFonts w:ascii="Times New Roman" w:hAnsi="Times New Roman" w:cs="Times New Roman"/>
              </w:rPr>
              <w:t>eksploatuojamų įrenginių praktik</w:t>
            </w:r>
            <w:r>
              <w:rPr>
                <w:rFonts w:ascii="Times New Roman" w:hAnsi="Times New Roman" w:cs="Times New Roman"/>
              </w:rPr>
              <w:t>a,</w:t>
            </w:r>
            <w:r w:rsidRPr="002D3328">
              <w:rPr>
                <w:rFonts w:ascii="Times New Roman" w:hAnsi="Times New Roman" w:cs="Times New Roman"/>
              </w:rPr>
              <w:t xml:space="preserve"> maišyklės greičiau ir efektyviau užtikrina mišinio sumaišymą. Prašome vadovautis technine specifikacija, t. y. anaerobinėje zonoje maišymui turi būti naudojamos stacionarios panardinamos maišyklės.</w:t>
            </w:r>
          </w:p>
          <w:p w14:paraId="032666C8" w14:textId="77777777" w:rsidR="008079F1" w:rsidRPr="00DB3818" w:rsidRDefault="008079F1" w:rsidP="00B04704">
            <w:pPr>
              <w:jc w:val="both"/>
              <w:rPr>
                <w:rFonts w:ascii="Times New Roman" w:hAnsi="Times New Roman" w:cs="Times New Roman"/>
              </w:rPr>
            </w:pPr>
          </w:p>
        </w:tc>
      </w:tr>
      <w:tr w:rsidR="008079F1" w:rsidRPr="00DB3818" w14:paraId="741B569D" w14:textId="77777777" w:rsidTr="00B04704">
        <w:tc>
          <w:tcPr>
            <w:tcW w:w="4312" w:type="dxa"/>
          </w:tcPr>
          <w:p w14:paraId="3AAE461D" w14:textId="2F5907AE" w:rsidR="008079F1" w:rsidRPr="00DB3818" w:rsidRDefault="00DB3818" w:rsidP="00B04704">
            <w:pPr>
              <w:pStyle w:val="Sraopastraipa"/>
              <w:numPr>
                <w:ilvl w:val="0"/>
                <w:numId w:val="1"/>
              </w:numPr>
              <w:ind w:left="0" w:firstLine="0"/>
              <w:jc w:val="both"/>
              <w:rPr>
                <w:rFonts w:ascii="Times New Roman" w:hAnsi="Times New Roman" w:cs="Times New Roman"/>
              </w:rPr>
            </w:pPr>
            <w:r w:rsidRPr="00DB3818">
              <w:rPr>
                <w:rFonts w:ascii="Times New Roman" w:hAnsi="Times New Roman" w:cs="Times New Roman"/>
                <w:bCs/>
              </w:rPr>
              <w:t>Techninės specifikacijos 2026-03-13 atsakyme į klausimą Nr. 1 nurodyta, kad</w:t>
            </w:r>
            <w:r w:rsidRPr="00DB3818">
              <w:rPr>
                <w:rFonts w:ascii="Times New Roman" w:hAnsi="Times New Roman" w:cs="Times New Roman"/>
                <w:b/>
              </w:rPr>
              <w:t xml:space="preserve"> </w:t>
            </w:r>
            <w:proofErr w:type="spellStart"/>
            <w:r w:rsidRPr="00DB3818">
              <w:rPr>
                <w:rStyle w:val="Grietas"/>
                <w:rFonts w:ascii="Times New Roman" w:eastAsiaTheme="majorEastAsia" w:hAnsi="Times New Roman" w:cs="Times New Roman"/>
              </w:rPr>
              <w:t>denitrifikacinėse</w:t>
            </w:r>
            <w:proofErr w:type="spellEnd"/>
            <w:r w:rsidRPr="00DB3818">
              <w:rPr>
                <w:rStyle w:val="Grietas"/>
                <w:rFonts w:ascii="Times New Roman" w:eastAsiaTheme="majorEastAsia" w:hAnsi="Times New Roman" w:cs="Times New Roman"/>
              </w:rPr>
              <w:t xml:space="preserve"> zonose maišymas nėra numatytas</w:t>
            </w:r>
            <w:r w:rsidRPr="00DB3818">
              <w:rPr>
                <w:rFonts w:ascii="Times New Roman" w:hAnsi="Times New Roman" w:cs="Times New Roman"/>
                <w:bCs/>
              </w:rPr>
              <w:t>.</w:t>
            </w:r>
            <w:r w:rsidRPr="00DB3818">
              <w:rPr>
                <w:rFonts w:ascii="Times New Roman" w:hAnsi="Times New Roman" w:cs="Times New Roman"/>
                <w:b/>
              </w:rPr>
              <w:t xml:space="preserve"> </w:t>
            </w:r>
            <w:r w:rsidRPr="00DB3818">
              <w:rPr>
                <w:rFonts w:ascii="Times New Roman" w:hAnsi="Times New Roman" w:cs="Times New Roman"/>
                <w:bCs/>
              </w:rPr>
              <w:t xml:space="preserve">Atkreipiame dėmesį, kad biologinio nuotekų valymo technologijoje </w:t>
            </w:r>
            <w:proofErr w:type="spellStart"/>
            <w:r w:rsidRPr="00DB3818">
              <w:rPr>
                <w:rFonts w:ascii="Times New Roman" w:hAnsi="Times New Roman" w:cs="Times New Roman"/>
                <w:bCs/>
              </w:rPr>
              <w:t>denitrifikacijos</w:t>
            </w:r>
            <w:proofErr w:type="spellEnd"/>
            <w:r w:rsidRPr="00DB3818">
              <w:rPr>
                <w:rFonts w:ascii="Times New Roman" w:hAnsi="Times New Roman" w:cs="Times New Roman"/>
                <w:bCs/>
              </w:rPr>
              <w:t xml:space="preserve"> (</w:t>
            </w:r>
            <w:proofErr w:type="spellStart"/>
            <w:r w:rsidRPr="00DB3818">
              <w:rPr>
                <w:rFonts w:ascii="Times New Roman" w:hAnsi="Times New Roman" w:cs="Times New Roman"/>
                <w:bCs/>
              </w:rPr>
              <w:t>anoksinėje</w:t>
            </w:r>
            <w:proofErr w:type="spellEnd"/>
            <w:r w:rsidRPr="00DB3818">
              <w:rPr>
                <w:rFonts w:ascii="Times New Roman" w:hAnsi="Times New Roman" w:cs="Times New Roman"/>
                <w:bCs/>
              </w:rPr>
              <w:t>) zonoje būtina užtikrinti</w:t>
            </w:r>
            <w:r w:rsidRPr="00DB3818">
              <w:rPr>
                <w:rFonts w:ascii="Times New Roman" w:hAnsi="Times New Roman" w:cs="Times New Roman"/>
                <w:b/>
              </w:rPr>
              <w:t xml:space="preserve"> </w:t>
            </w:r>
            <w:r w:rsidRPr="00DB3818">
              <w:rPr>
                <w:rStyle w:val="Grietas"/>
                <w:rFonts w:ascii="Times New Roman" w:eastAsiaTheme="majorEastAsia" w:hAnsi="Times New Roman" w:cs="Times New Roman"/>
              </w:rPr>
              <w:t>veikliojo mišinio judėjimą ir aktyviojo dumblo palaikymą pakibusioje būsenoje</w:t>
            </w:r>
            <w:r w:rsidRPr="00DB3818">
              <w:rPr>
                <w:rFonts w:ascii="Times New Roman" w:hAnsi="Times New Roman" w:cs="Times New Roman"/>
                <w:b/>
              </w:rPr>
              <w:t xml:space="preserve">, </w:t>
            </w:r>
            <w:r w:rsidRPr="00DB3818">
              <w:rPr>
                <w:rFonts w:ascii="Times New Roman" w:hAnsi="Times New Roman" w:cs="Times New Roman"/>
                <w:bCs/>
              </w:rPr>
              <w:t xml:space="preserve">kad būtų sudarytos sąlygos nitratų ir organinės anglies kontaktui bei galėtų vykti </w:t>
            </w:r>
            <w:proofErr w:type="spellStart"/>
            <w:r w:rsidRPr="00DB3818">
              <w:rPr>
                <w:rFonts w:ascii="Times New Roman" w:hAnsi="Times New Roman" w:cs="Times New Roman"/>
                <w:bCs/>
              </w:rPr>
              <w:t>denitrifikacijos</w:t>
            </w:r>
            <w:proofErr w:type="spellEnd"/>
            <w:r w:rsidRPr="00DB3818">
              <w:rPr>
                <w:rFonts w:ascii="Times New Roman" w:hAnsi="Times New Roman" w:cs="Times New Roman"/>
                <w:bCs/>
              </w:rPr>
              <w:t xml:space="preserve"> procesas. Jeigu mišinio judėjimas neužtikrinamas, aktyvusis dumblas nusėda, dėl ko</w:t>
            </w:r>
            <w:r w:rsidRPr="00DB3818">
              <w:rPr>
                <w:rFonts w:ascii="Times New Roman" w:hAnsi="Times New Roman" w:cs="Times New Roman"/>
                <w:b/>
              </w:rPr>
              <w:t xml:space="preserve"> </w:t>
            </w:r>
            <w:proofErr w:type="spellStart"/>
            <w:r w:rsidRPr="00DB3818">
              <w:rPr>
                <w:rStyle w:val="Grietas"/>
                <w:rFonts w:ascii="Times New Roman" w:eastAsiaTheme="majorEastAsia" w:hAnsi="Times New Roman" w:cs="Times New Roman"/>
              </w:rPr>
              <w:t>denitrifikacijos</w:t>
            </w:r>
            <w:proofErr w:type="spellEnd"/>
            <w:r w:rsidRPr="00DB3818">
              <w:rPr>
                <w:rStyle w:val="Grietas"/>
                <w:rFonts w:ascii="Times New Roman" w:eastAsiaTheme="majorEastAsia" w:hAnsi="Times New Roman" w:cs="Times New Roman"/>
              </w:rPr>
              <w:t xml:space="preserve"> procesas nevyksta arba tampa nestabilus</w:t>
            </w:r>
            <w:r w:rsidRPr="00DB3818">
              <w:rPr>
                <w:rFonts w:ascii="Times New Roman" w:hAnsi="Times New Roman" w:cs="Times New Roman"/>
                <w:bCs/>
              </w:rPr>
              <w:t>. Atsižvelgiant į tai, prašome</w:t>
            </w:r>
            <w:r w:rsidRPr="00DB3818">
              <w:rPr>
                <w:rFonts w:ascii="Times New Roman" w:hAnsi="Times New Roman" w:cs="Times New Roman"/>
                <w:b/>
              </w:rPr>
              <w:t xml:space="preserve"> </w:t>
            </w:r>
            <w:r w:rsidRPr="00DB3818">
              <w:rPr>
                <w:rStyle w:val="Grietas"/>
                <w:rFonts w:ascii="Times New Roman" w:eastAsiaTheme="majorEastAsia" w:hAnsi="Times New Roman" w:cs="Times New Roman"/>
              </w:rPr>
              <w:t>patikslinti Perkančiosios organizacijos atsakymą</w:t>
            </w:r>
            <w:r w:rsidRPr="00DB3818">
              <w:rPr>
                <w:rFonts w:ascii="Times New Roman" w:hAnsi="Times New Roman" w:cs="Times New Roman"/>
                <w:b/>
              </w:rPr>
              <w:t xml:space="preserve">, </w:t>
            </w:r>
            <w:r w:rsidRPr="00DB3818">
              <w:rPr>
                <w:rFonts w:ascii="Times New Roman" w:hAnsi="Times New Roman" w:cs="Times New Roman"/>
                <w:bCs/>
              </w:rPr>
              <w:t xml:space="preserve">nes </w:t>
            </w:r>
            <w:r w:rsidRPr="00DB3818">
              <w:rPr>
                <w:rFonts w:ascii="Times New Roman" w:hAnsi="Times New Roman" w:cs="Times New Roman"/>
                <w:bCs/>
              </w:rPr>
              <w:lastRenderedPageBreak/>
              <w:t xml:space="preserve">prielaida, kad </w:t>
            </w:r>
            <w:proofErr w:type="spellStart"/>
            <w:r w:rsidRPr="00DB3818">
              <w:rPr>
                <w:rFonts w:ascii="Times New Roman" w:hAnsi="Times New Roman" w:cs="Times New Roman"/>
                <w:bCs/>
              </w:rPr>
              <w:t>denitrifikacijos</w:t>
            </w:r>
            <w:proofErr w:type="spellEnd"/>
            <w:r w:rsidRPr="00DB3818">
              <w:rPr>
                <w:rFonts w:ascii="Times New Roman" w:hAnsi="Times New Roman" w:cs="Times New Roman"/>
                <w:bCs/>
              </w:rPr>
              <w:t xml:space="preserve"> zonoje maišymas nėra numatytas, technologiškai nėra pagrįsta. </w:t>
            </w:r>
            <w:proofErr w:type="spellStart"/>
            <w:r w:rsidRPr="00DB3818">
              <w:rPr>
                <w:rFonts w:ascii="Times New Roman" w:hAnsi="Times New Roman" w:cs="Times New Roman"/>
                <w:bCs/>
              </w:rPr>
              <w:t>Denitrifikacijos</w:t>
            </w:r>
            <w:proofErr w:type="spellEnd"/>
            <w:r w:rsidRPr="00DB3818">
              <w:rPr>
                <w:rFonts w:ascii="Times New Roman" w:hAnsi="Times New Roman" w:cs="Times New Roman"/>
                <w:bCs/>
              </w:rPr>
              <w:t xml:space="preserve"> kameroje veiklusis dumblas funkciniu požiūriu turi būti</w:t>
            </w:r>
            <w:r w:rsidRPr="00DB3818">
              <w:rPr>
                <w:rFonts w:ascii="Times New Roman" w:hAnsi="Times New Roman" w:cs="Times New Roman"/>
                <w:b/>
              </w:rPr>
              <w:t xml:space="preserve"> </w:t>
            </w:r>
            <w:r w:rsidRPr="00DB3818">
              <w:rPr>
                <w:rStyle w:val="Grietas"/>
                <w:rFonts w:ascii="Times New Roman" w:eastAsiaTheme="majorEastAsia" w:hAnsi="Times New Roman" w:cs="Times New Roman"/>
              </w:rPr>
              <w:t>palaikomas pakibusioje būsenoje atitinkamomis inžinerinėmis priemonėmis</w:t>
            </w:r>
            <w:r w:rsidRPr="00DB3818">
              <w:rPr>
                <w:rFonts w:ascii="Times New Roman" w:hAnsi="Times New Roman" w:cs="Times New Roman"/>
                <w:bCs/>
              </w:rPr>
              <w:t>, kurios užtikrina mišinio judėjimą. Prašome patikslinti, kad Techninėje specifikacijoje</w:t>
            </w:r>
            <w:r w:rsidRPr="00DB3818">
              <w:rPr>
                <w:rFonts w:ascii="Times New Roman" w:hAnsi="Times New Roman" w:cs="Times New Roman"/>
                <w:b/>
              </w:rPr>
              <w:t xml:space="preserve"> </w:t>
            </w:r>
            <w:r w:rsidRPr="00DB3818">
              <w:rPr>
                <w:rStyle w:val="Grietas"/>
                <w:rFonts w:ascii="Times New Roman" w:eastAsiaTheme="majorEastAsia" w:hAnsi="Times New Roman" w:cs="Times New Roman"/>
              </w:rPr>
              <w:t xml:space="preserve">turi būti užtikrintas veikliojo mišinio judėjimas </w:t>
            </w:r>
            <w:proofErr w:type="spellStart"/>
            <w:r w:rsidRPr="00DB3818">
              <w:rPr>
                <w:rStyle w:val="Grietas"/>
                <w:rFonts w:ascii="Times New Roman" w:eastAsiaTheme="majorEastAsia" w:hAnsi="Times New Roman" w:cs="Times New Roman"/>
              </w:rPr>
              <w:t>denitrifikacijos</w:t>
            </w:r>
            <w:proofErr w:type="spellEnd"/>
            <w:r w:rsidRPr="00DB3818">
              <w:rPr>
                <w:rStyle w:val="Grietas"/>
                <w:rFonts w:ascii="Times New Roman" w:eastAsiaTheme="majorEastAsia" w:hAnsi="Times New Roman" w:cs="Times New Roman"/>
              </w:rPr>
              <w:t xml:space="preserve"> zonoje</w:t>
            </w:r>
            <w:r w:rsidRPr="00DB3818">
              <w:rPr>
                <w:rFonts w:ascii="Times New Roman" w:hAnsi="Times New Roman" w:cs="Times New Roman"/>
                <w:bCs/>
              </w:rPr>
              <w:t xml:space="preserve">, leidžiant taikyti atitinkamas inžinerines priemones ar technologinius sprendinius, kurie užtikrina aktyviojo dumblo palaikymą pakibusioje būsenoje ir stabilų </w:t>
            </w:r>
            <w:proofErr w:type="spellStart"/>
            <w:r w:rsidRPr="00DB3818">
              <w:rPr>
                <w:rFonts w:ascii="Times New Roman" w:hAnsi="Times New Roman" w:cs="Times New Roman"/>
                <w:bCs/>
              </w:rPr>
              <w:t>denitrifikacijos</w:t>
            </w:r>
            <w:proofErr w:type="spellEnd"/>
            <w:r w:rsidRPr="00DB3818">
              <w:rPr>
                <w:rFonts w:ascii="Times New Roman" w:hAnsi="Times New Roman" w:cs="Times New Roman"/>
                <w:bCs/>
              </w:rPr>
              <w:t xml:space="preserve"> proceso vyksmą.</w:t>
            </w:r>
          </w:p>
        </w:tc>
        <w:tc>
          <w:tcPr>
            <w:tcW w:w="5316" w:type="dxa"/>
          </w:tcPr>
          <w:p w14:paraId="4AC49F2D" w14:textId="33915272" w:rsidR="008079F1" w:rsidRPr="00DB3818" w:rsidRDefault="002D3328" w:rsidP="00B04704">
            <w:pPr>
              <w:jc w:val="both"/>
              <w:rPr>
                <w:rFonts w:ascii="Times New Roman" w:hAnsi="Times New Roman" w:cs="Times New Roman"/>
              </w:rPr>
            </w:pPr>
            <w:r>
              <w:rPr>
                <w:rFonts w:ascii="Times New Roman" w:hAnsi="Times New Roman" w:cs="Times New Roman"/>
                <w:b/>
                <w:bCs/>
              </w:rPr>
              <w:lastRenderedPageBreak/>
              <w:t>V</w:t>
            </w:r>
            <w:r w:rsidRPr="002D3328">
              <w:rPr>
                <w:rFonts w:ascii="Times New Roman" w:hAnsi="Times New Roman" w:cs="Times New Roman"/>
                <w:b/>
                <w:bCs/>
              </w:rPr>
              <w:t xml:space="preserve">eikliojo mišinio maišymas </w:t>
            </w:r>
            <w:proofErr w:type="spellStart"/>
            <w:r w:rsidRPr="002D3328">
              <w:rPr>
                <w:rFonts w:ascii="Times New Roman" w:hAnsi="Times New Roman" w:cs="Times New Roman"/>
                <w:b/>
                <w:bCs/>
              </w:rPr>
              <w:t>denitrifikacijos</w:t>
            </w:r>
            <w:proofErr w:type="spellEnd"/>
            <w:r w:rsidRPr="002D3328">
              <w:rPr>
                <w:rFonts w:ascii="Times New Roman" w:hAnsi="Times New Roman" w:cs="Times New Roman"/>
                <w:b/>
                <w:bCs/>
              </w:rPr>
              <w:t xml:space="preserve"> zonoje turi būti užtikrintas </w:t>
            </w:r>
            <w:r w:rsidRPr="002D3328">
              <w:rPr>
                <w:rFonts w:ascii="Times New Roman" w:hAnsi="Times New Roman" w:cs="Times New Roman"/>
              </w:rPr>
              <w:t>stacionariomis panardinamomis maišyklėmis (ne mažiau kaip po vieną kiekvienoje linijoje).</w:t>
            </w:r>
          </w:p>
        </w:tc>
      </w:tr>
      <w:tr w:rsidR="008079F1" w:rsidRPr="00DB3818" w14:paraId="1957470B" w14:textId="77777777" w:rsidTr="00B04704">
        <w:tc>
          <w:tcPr>
            <w:tcW w:w="4312" w:type="dxa"/>
          </w:tcPr>
          <w:p w14:paraId="32A24613" w14:textId="77777777" w:rsidR="00DB3818" w:rsidRPr="00DB3818" w:rsidRDefault="00DB3818" w:rsidP="00B04704">
            <w:pPr>
              <w:pStyle w:val="prastasiniatinklio"/>
              <w:numPr>
                <w:ilvl w:val="0"/>
                <w:numId w:val="1"/>
              </w:numPr>
              <w:spacing w:before="0" w:beforeAutospacing="0" w:after="0" w:afterAutospacing="0"/>
              <w:ind w:left="0" w:firstLine="0"/>
              <w:jc w:val="both"/>
              <w:rPr>
                <w:bCs/>
                <w:lang w:val="lt-LT"/>
              </w:rPr>
            </w:pPr>
            <w:r w:rsidRPr="00DB3818">
              <w:rPr>
                <w:bCs/>
                <w:lang w:val="lt-LT"/>
              </w:rPr>
              <w:t>Techninės specifikacijos 1 lentelėje nurodyta, kad didžiausias valandinis nuotekų debitas lietingu metu yra 55 m³/h, pažymint, kad ši reikšmė nustatyta pagal siurblinės siurblių našumą. Atkreipiame dėmesį, kad pagal pateiktus projektinius duomenis vidutinis paros nuotekų debitas yra 200 m³/d, kas atitinka apie 8,33 m³/h vidutinį valandinį debitą (2,31 l/s). Atliekant skaičiavimus pagal RSN normatyvus (12 lentelė – bendras netolygumo koeficientas) gaunami šie rezultatai:</w:t>
            </w:r>
          </w:p>
          <w:p w14:paraId="166703E6" w14:textId="77777777" w:rsidR="00DB3818" w:rsidRPr="00DB3818" w:rsidRDefault="00DB3818" w:rsidP="00B04704">
            <w:pPr>
              <w:pStyle w:val="prastasiniatinklio"/>
              <w:spacing w:before="0" w:beforeAutospacing="0" w:after="0" w:afterAutospacing="0"/>
              <w:jc w:val="both"/>
              <w:rPr>
                <w:bCs/>
                <w:i/>
                <w:iCs/>
                <w:lang w:val="lt-LT"/>
              </w:rPr>
            </w:pPr>
            <w:r w:rsidRPr="00DB3818">
              <w:rPr>
                <w:bCs/>
                <w:i/>
                <w:iCs/>
                <w:lang w:val="lt-LT"/>
              </w:rPr>
              <w:t xml:space="preserve">Vertinant netolygumo koeficientą pagal skaičiuotiną sekundinį debitą: </w:t>
            </w:r>
            <w:r w:rsidRPr="00DB3818">
              <w:rPr>
                <w:bCs/>
                <w:lang w:val="lt-LT"/>
              </w:rPr>
              <w:t>vidutinis paros debitas – 200 m³/d; vidutinis valandos debitas – 200/24 = 8,33 m³/h (2,31 l/s)</w:t>
            </w:r>
            <w:r w:rsidRPr="00DB3818">
              <w:rPr>
                <w:bCs/>
                <w:i/>
                <w:iCs/>
                <w:lang w:val="lt-LT"/>
              </w:rPr>
              <w:t>.</w:t>
            </w:r>
            <w:r w:rsidRPr="00DB3818">
              <w:rPr>
                <w:bCs/>
                <w:lang w:val="lt-LT"/>
              </w:rPr>
              <w:t>Didžiausias valandos debitas sausu metu – 8,33 × 3,3 = 27,5 m³/h (pagal RSN 12 lentelę bendras netolygumo koeficientas 3,3, kai vidutinis sekundinis debitas apie 2 l/s)</w:t>
            </w:r>
            <w:r w:rsidRPr="00DB3818">
              <w:rPr>
                <w:bCs/>
                <w:i/>
                <w:iCs/>
                <w:lang w:val="lt-LT"/>
              </w:rPr>
              <w:t xml:space="preserve">. </w:t>
            </w:r>
            <w:r w:rsidRPr="00DB3818">
              <w:rPr>
                <w:bCs/>
                <w:lang w:val="lt-LT"/>
              </w:rPr>
              <w:t>Didžiausias valandos debitas lietaus metu – 27,5 × 1,1 = 30,24 m³/h (koeficientas 1,1, įvertinantis infiltraciją ir polaidžio vandens patekimą per šulinių dangčius)</w:t>
            </w:r>
            <w:r w:rsidRPr="00DB3818">
              <w:rPr>
                <w:bCs/>
                <w:i/>
                <w:iCs/>
                <w:lang w:val="lt-LT"/>
              </w:rPr>
              <w:t xml:space="preserve">. </w:t>
            </w:r>
          </w:p>
          <w:p w14:paraId="090D3C7D" w14:textId="77777777" w:rsidR="00DB3818" w:rsidRPr="00DB3818" w:rsidRDefault="00DB3818" w:rsidP="00B04704">
            <w:pPr>
              <w:pStyle w:val="prastasiniatinklio"/>
              <w:spacing w:before="0" w:beforeAutospacing="0" w:after="0" w:afterAutospacing="0"/>
              <w:jc w:val="both"/>
              <w:rPr>
                <w:bCs/>
                <w:i/>
                <w:iCs/>
                <w:lang w:val="lt-LT"/>
              </w:rPr>
            </w:pPr>
            <w:r w:rsidRPr="00DB3818">
              <w:rPr>
                <w:bCs/>
                <w:i/>
                <w:iCs/>
                <w:lang w:val="lt-LT"/>
              </w:rPr>
              <w:t xml:space="preserve">Vertinant maksimalų galimą netolygumo koeficientą: </w:t>
            </w:r>
            <w:r w:rsidRPr="00DB3818">
              <w:rPr>
                <w:bCs/>
                <w:lang w:val="lt-LT"/>
              </w:rPr>
              <w:t>vidutinis paros debitas – 200 m³/d</w:t>
            </w:r>
            <w:r w:rsidRPr="00DB3818">
              <w:rPr>
                <w:bCs/>
                <w:i/>
                <w:iCs/>
                <w:lang w:val="lt-LT"/>
              </w:rPr>
              <w:t xml:space="preserve">; </w:t>
            </w:r>
            <w:r w:rsidRPr="00DB3818">
              <w:rPr>
                <w:bCs/>
                <w:lang w:val="lt-LT"/>
              </w:rPr>
              <w:t>vidutinis valandos debitas – 200/24 = 8,33 m³/h (2,31 l/s)</w:t>
            </w:r>
            <w:r w:rsidRPr="00DB3818">
              <w:rPr>
                <w:bCs/>
                <w:i/>
                <w:iCs/>
                <w:lang w:val="lt-LT"/>
              </w:rPr>
              <w:t xml:space="preserve">. </w:t>
            </w:r>
            <w:r w:rsidRPr="00DB3818">
              <w:rPr>
                <w:bCs/>
                <w:lang w:val="lt-LT"/>
              </w:rPr>
              <w:t>Didžiausias valandos debitas sausu metu – 8,33 × 4,3 = 35,82 m³/h (pagal RSN 12 lentelę didžiausias bendras netolygumo koeficientas 4,3, taikomas kai vidutinis sekundinis debitas ~1 l/s)</w:t>
            </w:r>
            <w:r w:rsidRPr="00DB3818">
              <w:rPr>
                <w:bCs/>
                <w:i/>
                <w:iCs/>
                <w:lang w:val="lt-LT"/>
              </w:rPr>
              <w:t xml:space="preserve">. </w:t>
            </w:r>
            <w:r w:rsidRPr="00DB3818">
              <w:rPr>
                <w:bCs/>
                <w:lang w:val="lt-LT"/>
              </w:rPr>
              <w:t xml:space="preserve">Didžiausias </w:t>
            </w:r>
            <w:r w:rsidRPr="00DB3818">
              <w:rPr>
                <w:bCs/>
                <w:lang w:val="lt-LT"/>
              </w:rPr>
              <w:lastRenderedPageBreak/>
              <w:t>valandos debitas lietaus metu – 35,82 × 1,1 = 39,4 m³/h</w:t>
            </w:r>
          </w:p>
          <w:p w14:paraId="5BD64826" w14:textId="77777777" w:rsidR="00DB3818" w:rsidRPr="00DB3818" w:rsidRDefault="00DB3818" w:rsidP="00B04704">
            <w:pPr>
              <w:pStyle w:val="prastasiniatinklio"/>
              <w:spacing w:before="0" w:beforeAutospacing="0" w:after="0" w:afterAutospacing="0"/>
              <w:jc w:val="both"/>
              <w:rPr>
                <w:bCs/>
                <w:lang w:val="lt-LT"/>
              </w:rPr>
            </w:pPr>
            <w:r w:rsidRPr="00DB3818">
              <w:rPr>
                <w:bCs/>
                <w:lang w:val="lt-LT"/>
              </w:rPr>
              <w:t>Atsižvelgiant į tai, pagal normatyvinius skaičiavimus didžiausias valandinis debitas lietingu metu būtų apie 30–40 m³/h, todėl pirkimo dokumentuose nurodyta 55 m³/h reikšmė kelia abejonių dėl jos pagrįstumo, ypač atsižvelgiant į tai, kad ji, kaip nurodyta, nustatyta pagal siurblinės siurblių našumą, kuris nebūtinai atspindi realų į nuotekų valymo įrenginius patenkantį nuotekų kiekį.</w:t>
            </w:r>
          </w:p>
          <w:p w14:paraId="469AB13F" w14:textId="77777777" w:rsidR="00DB3818" w:rsidRPr="00DB3818" w:rsidRDefault="00DB3818" w:rsidP="00B04704">
            <w:pPr>
              <w:pStyle w:val="prastasiniatinklio"/>
              <w:spacing w:before="0" w:beforeAutospacing="0" w:after="0" w:afterAutospacing="0"/>
              <w:jc w:val="both"/>
              <w:rPr>
                <w:bCs/>
                <w:lang w:val="lt-LT"/>
              </w:rPr>
            </w:pPr>
            <w:r w:rsidRPr="00DB3818">
              <w:rPr>
                <w:bCs/>
                <w:lang w:val="lt-LT"/>
              </w:rPr>
              <w:t xml:space="preserve">Technologinės įrangos parinkimas pagal maksimalų siurblių pajėgumą gali lemti nepagrįstai padidintus parengtinio valymo įrenginių, biologinio valymo grandies ir antrinių </w:t>
            </w:r>
            <w:proofErr w:type="spellStart"/>
            <w:r w:rsidRPr="00DB3818">
              <w:rPr>
                <w:bCs/>
                <w:lang w:val="lt-LT"/>
              </w:rPr>
              <w:t>nusodintuvų</w:t>
            </w:r>
            <w:proofErr w:type="spellEnd"/>
            <w:r w:rsidRPr="00DB3818">
              <w:rPr>
                <w:bCs/>
                <w:lang w:val="lt-LT"/>
              </w:rPr>
              <w:t xml:space="preserve"> hidraulinius matmenis, taip pat padidinti technologinės įrangos bei statybos kaštus.</w:t>
            </w:r>
          </w:p>
          <w:p w14:paraId="378E96C1" w14:textId="77777777" w:rsidR="00DB3818" w:rsidRPr="00DB3818" w:rsidRDefault="00DB3818" w:rsidP="00B04704">
            <w:pPr>
              <w:pStyle w:val="prastasiniatinklio"/>
              <w:spacing w:before="0" w:beforeAutospacing="0" w:after="0" w:afterAutospacing="0"/>
              <w:jc w:val="both"/>
              <w:rPr>
                <w:bCs/>
                <w:lang w:val="lt-LT"/>
              </w:rPr>
            </w:pPr>
            <w:r w:rsidRPr="00DB3818">
              <w:rPr>
                <w:bCs/>
                <w:lang w:val="lt-LT"/>
              </w:rPr>
              <w:t>Atsižvelgiant į tai, prašome patikslinti:</w:t>
            </w:r>
          </w:p>
          <w:p w14:paraId="743A2DEC" w14:textId="77777777" w:rsidR="00DB3818" w:rsidRPr="00DB3818" w:rsidRDefault="00DB3818" w:rsidP="00B04704">
            <w:pPr>
              <w:pStyle w:val="prastasiniatinklio"/>
              <w:numPr>
                <w:ilvl w:val="1"/>
                <w:numId w:val="1"/>
              </w:numPr>
              <w:spacing w:before="0" w:beforeAutospacing="0" w:after="0" w:afterAutospacing="0"/>
              <w:ind w:left="0" w:firstLine="0"/>
              <w:jc w:val="both"/>
              <w:rPr>
                <w:bCs/>
                <w:lang w:val="lt-LT"/>
              </w:rPr>
            </w:pPr>
            <w:r w:rsidRPr="00DB3818">
              <w:rPr>
                <w:bCs/>
                <w:lang w:val="lt-LT"/>
              </w:rPr>
              <w:t>ar 55 m³/h yra siurblinėje sumontuotų siurblių nominalus techninis našumas, ar hidrauliniais skaičiavimais ar faktiniais duomenimis nustatytas maksimalus nuotekų debitas lietingu metu;</w:t>
            </w:r>
          </w:p>
          <w:p w14:paraId="77009F55" w14:textId="77777777" w:rsidR="00DB3818" w:rsidRPr="00DB3818" w:rsidRDefault="00DB3818" w:rsidP="00B04704">
            <w:pPr>
              <w:pStyle w:val="prastasiniatinklio"/>
              <w:numPr>
                <w:ilvl w:val="1"/>
                <w:numId w:val="1"/>
              </w:numPr>
              <w:spacing w:before="0" w:beforeAutospacing="0" w:after="0" w:afterAutospacing="0"/>
              <w:ind w:left="0" w:firstLine="0"/>
              <w:jc w:val="both"/>
              <w:rPr>
                <w:bCs/>
                <w:lang w:val="lt-LT"/>
              </w:rPr>
            </w:pPr>
            <w:r w:rsidRPr="00DB3818">
              <w:rPr>
                <w:bCs/>
                <w:lang w:val="lt-LT"/>
              </w:rPr>
              <w:t>kokiais hidrauliniais skaičiavimais ar monitoringo duomenimis pagrįstas 55 m³/h debito nustatymas;</w:t>
            </w:r>
          </w:p>
          <w:p w14:paraId="57D6B9FF" w14:textId="2F06D894" w:rsidR="008079F1" w:rsidRPr="002D3328" w:rsidRDefault="00DB3818" w:rsidP="00B04704">
            <w:pPr>
              <w:pStyle w:val="Sraopastraipa"/>
              <w:numPr>
                <w:ilvl w:val="1"/>
                <w:numId w:val="1"/>
              </w:numPr>
              <w:ind w:left="0" w:firstLine="29"/>
              <w:jc w:val="both"/>
              <w:rPr>
                <w:rFonts w:ascii="Times New Roman" w:hAnsi="Times New Roman" w:cs="Times New Roman"/>
              </w:rPr>
            </w:pPr>
            <w:r w:rsidRPr="002D3328">
              <w:rPr>
                <w:rFonts w:ascii="Times New Roman" w:hAnsi="Times New Roman" w:cs="Times New Roman"/>
                <w:bCs/>
              </w:rPr>
              <w:t>ar 55 m³/h turi būti laikomas privalomu technologinių valymo įrenginių projektavimo debitu, ar ši reikšmė nurodo tik maksimalų siurblinės hidraulinį pajėgumą.</w:t>
            </w:r>
          </w:p>
        </w:tc>
        <w:tc>
          <w:tcPr>
            <w:tcW w:w="5316" w:type="dxa"/>
          </w:tcPr>
          <w:p w14:paraId="220233EE" w14:textId="1BE3901A" w:rsidR="002D3328" w:rsidRPr="002D3328" w:rsidRDefault="002D3328" w:rsidP="00B04704">
            <w:pPr>
              <w:pStyle w:val="prastasiniatinklio"/>
              <w:numPr>
                <w:ilvl w:val="2"/>
                <w:numId w:val="1"/>
              </w:numPr>
              <w:ind w:left="0" w:firstLine="0"/>
              <w:jc w:val="both"/>
              <w:rPr>
                <w:b/>
                <w:bCs/>
                <w:lang w:val="lt-LT"/>
              </w:rPr>
            </w:pPr>
            <w:r w:rsidRPr="002D3328">
              <w:rPr>
                <w:bCs/>
                <w:lang w:val="lt-LT"/>
              </w:rPr>
              <w:lastRenderedPageBreak/>
              <w:t>55 m³/h yra maksimalus faktiniais duomenimis nustatytas maksimalus nuotekų debitas lietingu metu.</w:t>
            </w:r>
          </w:p>
          <w:p w14:paraId="498EF4E6" w14:textId="4615B790" w:rsidR="002D3328" w:rsidRPr="002D3328" w:rsidRDefault="002D3328" w:rsidP="00B04704">
            <w:pPr>
              <w:pStyle w:val="prastasiniatinklio"/>
              <w:numPr>
                <w:ilvl w:val="2"/>
                <w:numId w:val="1"/>
              </w:numPr>
              <w:ind w:left="0" w:firstLine="0"/>
              <w:jc w:val="both"/>
              <w:rPr>
                <w:b/>
                <w:bCs/>
                <w:lang w:val="lt-LT"/>
              </w:rPr>
            </w:pPr>
            <w:r w:rsidRPr="002D3328">
              <w:rPr>
                <w:bCs/>
                <w:lang w:val="lt-LT"/>
              </w:rPr>
              <w:t xml:space="preserve">Nuotekų siurblinėje yra sumontuotas </w:t>
            </w:r>
            <w:proofErr w:type="spellStart"/>
            <w:r w:rsidRPr="002D3328">
              <w:rPr>
                <w:bCs/>
                <w:lang w:val="lt-LT"/>
              </w:rPr>
              <w:t>debitomatis</w:t>
            </w:r>
            <w:proofErr w:type="spellEnd"/>
            <w:r w:rsidRPr="002D3328">
              <w:rPr>
                <w:bCs/>
                <w:lang w:val="lt-LT"/>
              </w:rPr>
              <w:t>, kuris rodo ir momentinį pumpuojamų nuotekų debitą. Siurblys, nepriklausomai, ar lietingas laikotarpis, ar sausasis metas pumpuoja vienodu našumu – 55 m³/h. Siurblio darbo laikas priklauso nuo to, kiek nuotekų atiteka į siurblinę ir per kiek laiko yra išpumpuojamas nuotekų tūris iki siurblio atsijungimo ribos. Skiriasi tik laiko pauzės tarp įsijungimų, pvz. esant intensyviam lietui, siurblinė dirba be sustojimo.</w:t>
            </w:r>
          </w:p>
          <w:p w14:paraId="63AA5A4E" w14:textId="306614CF" w:rsidR="008079F1" w:rsidRPr="002D3328" w:rsidRDefault="002D3328" w:rsidP="00B04704">
            <w:pPr>
              <w:pStyle w:val="prastasiniatinklio"/>
              <w:numPr>
                <w:ilvl w:val="2"/>
                <w:numId w:val="1"/>
              </w:numPr>
              <w:ind w:left="0" w:firstLine="0"/>
              <w:jc w:val="both"/>
            </w:pPr>
            <w:r w:rsidRPr="002D3328">
              <w:rPr>
                <w:bCs/>
                <w:lang w:val="lt-LT"/>
              </w:rPr>
              <w:t>Žr. atsakymą a). Nuotekų valymo įrenginių mechaninės grandies pajėgumui vertinti, kad didžiausias valandinis nuotekų debitas lietingu metu gali siekti 36 m</w:t>
            </w:r>
            <w:r w:rsidRPr="002D3328">
              <w:rPr>
                <w:bCs/>
                <w:vertAlign w:val="superscript"/>
                <w:lang w:val="lt-LT"/>
              </w:rPr>
              <w:t>3</w:t>
            </w:r>
            <w:r w:rsidRPr="002D3328">
              <w:rPr>
                <w:bCs/>
                <w:lang w:val="lt-LT"/>
              </w:rPr>
              <w:t>/h, tačiau atkreipiame dėmesį, kad intensyvesniais lietingais periodais siurblinė gali paduoti nurodytą debitą. Rangovas privalo įvertinti šiuos parametrus, įdiegdamas reikiamas priemones užtikrinti tinkamą nuotekų išvalymą.</w:t>
            </w:r>
          </w:p>
        </w:tc>
      </w:tr>
      <w:tr w:rsidR="008079F1" w:rsidRPr="00DB3818" w14:paraId="0F34FDE2" w14:textId="77777777" w:rsidTr="00B04704">
        <w:tc>
          <w:tcPr>
            <w:tcW w:w="4312" w:type="dxa"/>
          </w:tcPr>
          <w:p w14:paraId="0DC973B1" w14:textId="6EB1888A" w:rsidR="00DB3818" w:rsidRPr="00DB3818" w:rsidRDefault="00DB3818" w:rsidP="00B04704">
            <w:pPr>
              <w:pStyle w:val="prastasiniatinklio"/>
              <w:numPr>
                <w:ilvl w:val="0"/>
                <w:numId w:val="1"/>
              </w:numPr>
              <w:spacing w:before="0" w:beforeAutospacing="0" w:after="0" w:afterAutospacing="0"/>
              <w:ind w:left="0" w:firstLine="0"/>
              <w:jc w:val="both"/>
              <w:rPr>
                <w:b/>
                <w:bCs/>
                <w:lang w:val="lt-LT"/>
              </w:rPr>
            </w:pPr>
            <w:r w:rsidRPr="00DB3818">
              <w:rPr>
                <w:lang w:val="lt-LT"/>
              </w:rPr>
              <w:t xml:space="preserve">Techninės specifikacijos 2026-03-13 atsakyme į klausimą Nr. 3 nurodyta, kad siekiant vienodo interpretavimo panaikinama nuostata apie </w:t>
            </w:r>
            <w:proofErr w:type="spellStart"/>
            <w:r w:rsidRPr="00DB3818">
              <w:rPr>
                <w:lang w:val="lt-LT"/>
              </w:rPr>
              <w:t>gamykliškai</w:t>
            </w:r>
            <w:proofErr w:type="spellEnd"/>
            <w:r w:rsidRPr="00DB3818">
              <w:rPr>
                <w:lang w:val="lt-LT"/>
              </w:rPr>
              <w:t xml:space="preserve"> įrengtų </w:t>
            </w:r>
            <w:proofErr w:type="spellStart"/>
            <w:r w:rsidRPr="00DB3818">
              <w:rPr>
                <w:lang w:val="lt-LT"/>
              </w:rPr>
              <w:t>erliftų</w:t>
            </w:r>
            <w:proofErr w:type="spellEnd"/>
            <w:r w:rsidRPr="00DB3818">
              <w:rPr>
                <w:lang w:val="lt-LT"/>
              </w:rPr>
              <w:t xml:space="preserve"> naudojimą ir nustatoma, jog </w:t>
            </w:r>
            <w:r w:rsidRPr="00DB3818">
              <w:rPr>
                <w:rStyle w:val="Grietas"/>
                <w:rFonts w:eastAsiaTheme="majorEastAsia"/>
                <w:lang w:val="lt-LT"/>
              </w:rPr>
              <w:t xml:space="preserve">dumblo cirkuliacijai nuotekų valymo įrenginiuose turi būti naudojami dumblo siurbliai įrengiant </w:t>
            </w:r>
            <w:proofErr w:type="spellStart"/>
            <w:r w:rsidRPr="00DB3818">
              <w:rPr>
                <w:rStyle w:val="Grietas"/>
                <w:rFonts w:eastAsiaTheme="majorEastAsia"/>
                <w:lang w:val="lt-LT"/>
              </w:rPr>
              <w:t>debitomačius</w:t>
            </w:r>
            <w:proofErr w:type="spellEnd"/>
            <w:r w:rsidRPr="00DB3818">
              <w:rPr>
                <w:b/>
                <w:bCs/>
                <w:lang w:val="lt-LT"/>
              </w:rPr>
              <w:t>.</w:t>
            </w:r>
            <w:r w:rsidRPr="00DB3818">
              <w:rPr>
                <w:lang w:val="lt-LT"/>
              </w:rPr>
              <w:t xml:space="preserve"> Atkreipiame dėmesį, kad biologinio nuotekų valymo įrenginių technologijose dumblo </w:t>
            </w:r>
            <w:proofErr w:type="spellStart"/>
            <w:r w:rsidRPr="00DB3818">
              <w:rPr>
                <w:lang w:val="lt-LT"/>
              </w:rPr>
              <w:t>recirkuliacija</w:t>
            </w:r>
            <w:proofErr w:type="spellEnd"/>
            <w:r w:rsidRPr="00DB3818">
              <w:rPr>
                <w:lang w:val="lt-LT"/>
              </w:rPr>
              <w:t xml:space="preserve"> praktikoje gali būti užtikrinama ne tik dumblo siurbliais, bet ir kitomis inžinerinėmis priemonėmis, pavyzdžiui </w:t>
            </w:r>
            <w:proofErr w:type="spellStart"/>
            <w:r w:rsidRPr="00DB3818">
              <w:rPr>
                <w:rStyle w:val="Grietas"/>
                <w:rFonts w:eastAsiaTheme="majorEastAsia"/>
                <w:lang w:val="lt-LT"/>
              </w:rPr>
              <w:t>erliftinėmis</w:t>
            </w:r>
            <w:proofErr w:type="spellEnd"/>
            <w:r w:rsidRPr="00DB3818">
              <w:rPr>
                <w:rStyle w:val="Grietas"/>
                <w:rFonts w:eastAsiaTheme="majorEastAsia"/>
                <w:lang w:val="lt-LT"/>
              </w:rPr>
              <w:t xml:space="preserve"> ar kitomis hidraulinėmis sistemomis</w:t>
            </w:r>
            <w:r w:rsidRPr="00DB3818">
              <w:rPr>
                <w:b/>
                <w:bCs/>
                <w:lang w:val="lt-LT"/>
              </w:rPr>
              <w:t>,</w:t>
            </w:r>
            <w:r w:rsidRPr="00DB3818">
              <w:rPr>
                <w:lang w:val="lt-LT"/>
              </w:rPr>
              <w:t xml:space="preserve"> kurios yra plačiai taikomos nuotekų valymo įrenginių projektavimo ir eksploatavimo praktikoje. Tokie </w:t>
            </w:r>
            <w:r w:rsidRPr="00DB3818">
              <w:rPr>
                <w:lang w:val="lt-LT"/>
              </w:rPr>
              <w:lastRenderedPageBreak/>
              <w:t xml:space="preserve">sprendiniai dažnai pasižymi </w:t>
            </w:r>
            <w:r w:rsidRPr="00DB3818">
              <w:rPr>
                <w:rStyle w:val="Grietas"/>
                <w:rFonts w:eastAsiaTheme="majorEastAsia"/>
                <w:lang w:val="lt-LT"/>
              </w:rPr>
              <w:t>paprastesne konstrukcija, mažesniu mechaninių komponentų kiekiu, didesniu patikimumu bei mažesnėmis eksploatacinėmis ir energijos sąnaudomis</w:t>
            </w:r>
            <w:r w:rsidRPr="00DB3818">
              <w:rPr>
                <w:lang w:val="lt-LT"/>
              </w:rPr>
              <w:t>.</w:t>
            </w:r>
            <w:r w:rsidRPr="00DB3818">
              <w:rPr>
                <w:b/>
                <w:bCs/>
                <w:lang w:val="lt-LT"/>
              </w:rPr>
              <w:t xml:space="preserve"> </w:t>
            </w:r>
            <w:r w:rsidRPr="00DB3818">
              <w:rPr>
                <w:lang w:val="lt-LT"/>
              </w:rPr>
              <w:t xml:space="preserve">Atsižvelgiant į tai, pažymėtina, kad reikalavimas dumblo </w:t>
            </w:r>
            <w:proofErr w:type="spellStart"/>
            <w:r w:rsidRPr="00DB3818">
              <w:rPr>
                <w:lang w:val="lt-LT"/>
              </w:rPr>
              <w:t>recirkuliacijai</w:t>
            </w:r>
            <w:proofErr w:type="spellEnd"/>
            <w:r w:rsidRPr="00DB3818">
              <w:rPr>
                <w:lang w:val="lt-LT"/>
              </w:rPr>
              <w:t xml:space="preserve"> naudoti </w:t>
            </w:r>
            <w:r w:rsidRPr="00DB3818">
              <w:rPr>
                <w:rStyle w:val="Grietas"/>
                <w:rFonts w:eastAsiaTheme="majorEastAsia"/>
                <w:lang w:val="lt-LT"/>
              </w:rPr>
              <w:t xml:space="preserve">tik dumblo siurblius su </w:t>
            </w:r>
            <w:proofErr w:type="spellStart"/>
            <w:r w:rsidRPr="00DB3818">
              <w:rPr>
                <w:rStyle w:val="Grietas"/>
                <w:rFonts w:eastAsiaTheme="majorEastAsia"/>
                <w:lang w:val="lt-LT"/>
              </w:rPr>
              <w:t>debitomačiais</w:t>
            </w:r>
            <w:proofErr w:type="spellEnd"/>
            <w:r w:rsidRPr="00DB3818">
              <w:rPr>
                <w:lang w:val="lt-LT"/>
              </w:rPr>
              <w:t xml:space="preserve">, atsisakant kitų technologinių sprendinių, gali nepagrįstai apriboti galimybę tiekėjams siūlyti kitus technologiškai lygiaverčius ir ekonomiškai efektyvius sprendimus bei nepagrįstai susiaurinti galimų technologinių sprendinių </w:t>
            </w:r>
            <w:proofErr w:type="spellStart"/>
            <w:r w:rsidRPr="00DB3818">
              <w:rPr>
                <w:lang w:val="lt-LT"/>
              </w:rPr>
              <w:t>pasirinkimą.Prašome</w:t>
            </w:r>
            <w:proofErr w:type="spellEnd"/>
            <w:r w:rsidRPr="00DB3818">
              <w:rPr>
                <w:lang w:val="lt-LT"/>
              </w:rPr>
              <w:t xml:space="preserve"> patikslinti Techninės specifikacijos nuostatą ir paaiškinti:</w:t>
            </w:r>
          </w:p>
          <w:p w14:paraId="0468105E" w14:textId="77777777" w:rsidR="00DB3818" w:rsidRPr="00DB3818" w:rsidRDefault="00DB3818" w:rsidP="00B04704">
            <w:pPr>
              <w:pStyle w:val="prastasiniatinklio"/>
              <w:numPr>
                <w:ilvl w:val="1"/>
                <w:numId w:val="1"/>
              </w:numPr>
              <w:spacing w:before="0" w:beforeAutospacing="0" w:after="0" w:afterAutospacing="0"/>
              <w:ind w:left="0" w:firstLine="0"/>
              <w:jc w:val="both"/>
              <w:rPr>
                <w:lang w:val="lt-LT"/>
              </w:rPr>
            </w:pPr>
            <w:r w:rsidRPr="00DB3818">
              <w:rPr>
                <w:lang w:val="lt-LT"/>
              </w:rPr>
              <w:t xml:space="preserve">kokiais </w:t>
            </w:r>
            <w:r w:rsidRPr="00DB3818">
              <w:rPr>
                <w:rStyle w:val="Grietas"/>
                <w:rFonts w:eastAsiaTheme="majorEastAsia"/>
                <w:lang w:val="lt-LT"/>
              </w:rPr>
              <w:t>technologiniais ar eksploataciniais argumentais</w:t>
            </w:r>
            <w:r w:rsidRPr="00DB3818">
              <w:rPr>
                <w:lang w:val="lt-LT"/>
              </w:rPr>
              <w:t xml:space="preserve"> grindžiamas sprendimas atsisakyti </w:t>
            </w:r>
            <w:proofErr w:type="spellStart"/>
            <w:r w:rsidRPr="00DB3818">
              <w:rPr>
                <w:lang w:val="lt-LT"/>
              </w:rPr>
              <w:t>erliftinių</w:t>
            </w:r>
            <w:proofErr w:type="spellEnd"/>
            <w:r w:rsidRPr="00DB3818">
              <w:rPr>
                <w:lang w:val="lt-LT"/>
              </w:rPr>
              <w:t xml:space="preserve"> ar kitų hidraulinių dumblo </w:t>
            </w:r>
            <w:proofErr w:type="spellStart"/>
            <w:r w:rsidRPr="00DB3818">
              <w:rPr>
                <w:lang w:val="lt-LT"/>
              </w:rPr>
              <w:t>recirkuliacijos</w:t>
            </w:r>
            <w:proofErr w:type="spellEnd"/>
            <w:r w:rsidRPr="00DB3818">
              <w:rPr>
                <w:lang w:val="lt-LT"/>
              </w:rPr>
              <w:t xml:space="preserve"> sprendinių, kurie yra plačiai taikomi nuotekų valymo įrenginiuose;</w:t>
            </w:r>
          </w:p>
          <w:p w14:paraId="27488911" w14:textId="77777777" w:rsidR="00DB3818" w:rsidRPr="00DB3818" w:rsidRDefault="00DB3818" w:rsidP="00B04704">
            <w:pPr>
              <w:pStyle w:val="prastasiniatinklio"/>
              <w:numPr>
                <w:ilvl w:val="1"/>
                <w:numId w:val="1"/>
              </w:numPr>
              <w:spacing w:before="0" w:beforeAutospacing="0" w:after="0" w:afterAutospacing="0"/>
              <w:ind w:left="0" w:firstLine="0"/>
              <w:jc w:val="both"/>
              <w:rPr>
                <w:lang w:val="lt-LT"/>
              </w:rPr>
            </w:pPr>
            <w:r w:rsidRPr="00DB3818">
              <w:rPr>
                <w:lang w:val="lt-LT"/>
              </w:rPr>
              <w:t xml:space="preserve">ar Rangovui bus leidžiama siūlyti </w:t>
            </w:r>
            <w:r w:rsidRPr="00DB3818">
              <w:rPr>
                <w:rStyle w:val="Grietas"/>
                <w:rFonts w:eastAsiaTheme="majorEastAsia"/>
                <w:lang w:val="lt-LT"/>
              </w:rPr>
              <w:t xml:space="preserve">technologiškai lygiaverčius dumblo </w:t>
            </w:r>
            <w:proofErr w:type="spellStart"/>
            <w:r w:rsidRPr="00DB3818">
              <w:rPr>
                <w:rStyle w:val="Grietas"/>
                <w:rFonts w:eastAsiaTheme="majorEastAsia"/>
                <w:lang w:val="lt-LT"/>
              </w:rPr>
              <w:t>recirkuliacijos</w:t>
            </w:r>
            <w:proofErr w:type="spellEnd"/>
            <w:r w:rsidRPr="00DB3818">
              <w:rPr>
                <w:rStyle w:val="Grietas"/>
                <w:rFonts w:eastAsiaTheme="majorEastAsia"/>
                <w:lang w:val="lt-LT"/>
              </w:rPr>
              <w:t xml:space="preserve"> sprendinius</w:t>
            </w:r>
            <w:r w:rsidRPr="00DB3818">
              <w:rPr>
                <w:lang w:val="lt-LT"/>
              </w:rPr>
              <w:t xml:space="preserve"> (pvz., </w:t>
            </w:r>
            <w:proofErr w:type="spellStart"/>
            <w:r w:rsidRPr="00DB3818">
              <w:rPr>
                <w:lang w:val="lt-LT"/>
              </w:rPr>
              <w:t>erliftines</w:t>
            </w:r>
            <w:proofErr w:type="spellEnd"/>
            <w:r w:rsidRPr="00DB3818">
              <w:rPr>
                <w:lang w:val="lt-LT"/>
              </w:rPr>
              <w:t xml:space="preserve"> ar kitas hidraulines sistemas), kurie užtikrina reikiamą dumblo </w:t>
            </w:r>
            <w:proofErr w:type="spellStart"/>
            <w:r w:rsidRPr="00DB3818">
              <w:rPr>
                <w:lang w:val="lt-LT"/>
              </w:rPr>
              <w:t>recirkuliacijos</w:t>
            </w:r>
            <w:proofErr w:type="spellEnd"/>
            <w:r w:rsidRPr="00DB3818">
              <w:rPr>
                <w:lang w:val="lt-LT"/>
              </w:rPr>
              <w:t xml:space="preserve"> funkciją ir stabilų technologinio proceso veikimą;</w:t>
            </w:r>
          </w:p>
          <w:p w14:paraId="444D2944" w14:textId="7FA03F37" w:rsidR="008079F1" w:rsidRPr="00DB3818" w:rsidRDefault="00DB3818" w:rsidP="00B04704">
            <w:pPr>
              <w:pStyle w:val="prastasiniatinklio"/>
              <w:numPr>
                <w:ilvl w:val="1"/>
                <w:numId w:val="1"/>
              </w:numPr>
              <w:spacing w:before="0" w:beforeAutospacing="0" w:after="0" w:afterAutospacing="0"/>
              <w:ind w:left="0" w:firstLine="0"/>
              <w:jc w:val="both"/>
              <w:rPr>
                <w:lang w:val="lt-LT"/>
              </w:rPr>
            </w:pPr>
            <w:r w:rsidRPr="00DB3818">
              <w:rPr>
                <w:lang w:val="lt-LT"/>
              </w:rPr>
              <w:t xml:space="preserve">ar Techninės specifikacijos reikalavimas dėl dumblo siurblių neturėtų būti suprantamas kaip </w:t>
            </w:r>
            <w:r w:rsidRPr="00DB3818">
              <w:rPr>
                <w:rStyle w:val="Grietas"/>
                <w:rFonts w:eastAsiaTheme="majorEastAsia"/>
                <w:lang w:val="lt-LT"/>
              </w:rPr>
              <w:t xml:space="preserve">funkcinis reikalavimas užtikrinti dumblo </w:t>
            </w:r>
            <w:proofErr w:type="spellStart"/>
            <w:r w:rsidRPr="00DB3818">
              <w:rPr>
                <w:rStyle w:val="Grietas"/>
                <w:rFonts w:eastAsiaTheme="majorEastAsia"/>
                <w:lang w:val="lt-LT"/>
              </w:rPr>
              <w:t>recirkuliaciją</w:t>
            </w:r>
            <w:proofErr w:type="spellEnd"/>
            <w:r w:rsidRPr="00DB3818">
              <w:rPr>
                <w:rStyle w:val="Grietas"/>
                <w:rFonts w:eastAsiaTheme="majorEastAsia"/>
                <w:lang w:val="lt-LT"/>
              </w:rPr>
              <w:t xml:space="preserve"> ir jos kontrolę</w:t>
            </w:r>
            <w:r w:rsidRPr="00DB3818">
              <w:rPr>
                <w:b/>
                <w:bCs/>
                <w:lang w:val="lt-LT"/>
              </w:rPr>
              <w:t>,</w:t>
            </w:r>
            <w:r w:rsidRPr="00DB3818">
              <w:rPr>
                <w:lang w:val="lt-LT"/>
              </w:rPr>
              <w:t xml:space="preserve"> leidžiantis taikyti ir kitus lygiaverčius technologinius sprendinius, jei jie užtikrina projektinių valymo rodiklių pasiekimą ir ekonomiškai racionalią eksploataciją.</w:t>
            </w:r>
          </w:p>
        </w:tc>
        <w:tc>
          <w:tcPr>
            <w:tcW w:w="5316" w:type="dxa"/>
          </w:tcPr>
          <w:p w14:paraId="39E2C9D7" w14:textId="77BC84F2" w:rsidR="00A42F9D" w:rsidRPr="00A42F9D" w:rsidRDefault="00A42F9D" w:rsidP="00B04704">
            <w:pPr>
              <w:pStyle w:val="prastasiniatinklio"/>
              <w:numPr>
                <w:ilvl w:val="2"/>
                <w:numId w:val="1"/>
              </w:numPr>
              <w:spacing w:before="0" w:beforeAutospacing="0" w:after="0" w:afterAutospacing="0"/>
              <w:ind w:left="0" w:firstLine="42"/>
              <w:jc w:val="both"/>
              <w:rPr>
                <w:bCs/>
                <w:lang w:val="lt-LT"/>
              </w:rPr>
            </w:pPr>
            <w:r w:rsidRPr="00A42F9D">
              <w:rPr>
                <w:lang w:val="lt-LT"/>
              </w:rPr>
              <w:lastRenderedPageBreak/>
              <w:t xml:space="preserve">Dėl tinklų būklės, infiltracijos ir vykstančios plėtros (naujų vartotojų nuolatinio prisijungimo) į NVĮ patenkančių nuotekų tarša svyruoja. Siekiant nedelsiant užtikrinti reikiamą apytakinio, perteklinio, </w:t>
            </w:r>
            <w:proofErr w:type="spellStart"/>
            <w:r w:rsidRPr="00A42F9D">
              <w:rPr>
                <w:lang w:val="lt-LT"/>
              </w:rPr>
              <w:t>recirkuliacinio</w:t>
            </w:r>
            <w:proofErr w:type="spellEnd"/>
            <w:r w:rsidRPr="00A42F9D">
              <w:rPr>
                <w:lang w:val="lt-LT"/>
              </w:rPr>
              <w:t xml:space="preserve">, grąžinamojo dumblo cirkuliaciją, linijose privalo būti įrengti </w:t>
            </w:r>
            <w:proofErr w:type="spellStart"/>
            <w:r w:rsidRPr="00A42F9D">
              <w:rPr>
                <w:lang w:val="lt-LT"/>
              </w:rPr>
              <w:t>debitomačiai</w:t>
            </w:r>
            <w:proofErr w:type="spellEnd"/>
            <w:r w:rsidRPr="00A42F9D">
              <w:rPr>
                <w:lang w:val="lt-LT"/>
              </w:rPr>
              <w:t>, o cirkuliacija vykdoma siurbliais. Taip pat siurbliai leidžia su dažnio pavara reguliuoti dumblo srautus, kas palengvina technologinio proceso savalaikį ir nuotolinį valdymą.</w:t>
            </w:r>
          </w:p>
          <w:p w14:paraId="2B7EF54B" w14:textId="77777777" w:rsidR="00A42F9D" w:rsidRPr="00A42F9D" w:rsidRDefault="00A42F9D" w:rsidP="00B04704">
            <w:pPr>
              <w:pStyle w:val="prastasiniatinklio"/>
              <w:numPr>
                <w:ilvl w:val="2"/>
                <w:numId w:val="1"/>
              </w:numPr>
              <w:spacing w:before="0" w:beforeAutospacing="0" w:after="0" w:afterAutospacing="0"/>
              <w:ind w:left="0" w:firstLine="0"/>
              <w:jc w:val="both"/>
              <w:rPr>
                <w:bCs/>
                <w:lang w:val="lt-LT"/>
              </w:rPr>
            </w:pPr>
            <w:r w:rsidRPr="00A42F9D">
              <w:rPr>
                <w:bCs/>
                <w:lang w:val="lt-LT"/>
              </w:rPr>
              <w:t>Žr. Atsakymą a).</w:t>
            </w:r>
          </w:p>
          <w:p w14:paraId="00AE1491" w14:textId="70D4B70A" w:rsidR="00A42F9D" w:rsidRPr="00A42F9D" w:rsidRDefault="00A42F9D" w:rsidP="00B04704">
            <w:pPr>
              <w:pStyle w:val="prastasiniatinklio"/>
              <w:numPr>
                <w:ilvl w:val="2"/>
                <w:numId w:val="1"/>
              </w:numPr>
              <w:spacing w:before="0" w:beforeAutospacing="0" w:after="0" w:afterAutospacing="0"/>
              <w:ind w:left="0" w:firstLine="0"/>
              <w:jc w:val="both"/>
              <w:rPr>
                <w:bCs/>
                <w:lang w:val="lt-LT"/>
              </w:rPr>
            </w:pPr>
            <w:r w:rsidRPr="00A42F9D">
              <w:rPr>
                <w:bCs/>
                <w:lang w:val="lt-LT"/>
              </w:rPr>
              <w:t>Žr. Atsakymą a).</w:t>
            </w:r>
          </w:p>
          <w:p w14:paraId="5F34FF5A" w14:textId="77777777" w:rsidR="008079F1" w:rsidRPr="00DB3818" w:rsidRDefault="008079F1" w:rsidP="00B04704">
            <w:pPr>
              <w:jc w:val="both"/>
              <w:rPr>
                <w:rFonts w:ascii="Times New Roman" w:hAnsi="Times New Roman" w:cs="Times New Roman"/>
              </w:rPr>
            </w:pPr>
          </w:p>
        </w:tc>
      </w:tr>
      <w:tr w:rsidR="00DB3818" w:rsidRPr="00DB3818" w14:paraId="3F2E57DD" w14:textId="77777777" w:rsidTr="00B04704">
        <w:tc>
          <w:tcPr>
            <w:tcW w:w="4312" w:type="dxa"/>
          </w:tcPr>
          <w:p w14:paraId="3BFB05B0" w14:textId="77777777" w:rsidR="00DB3818" w:rsidRPr="00DB3818" w:rsidRDefault="00DB3818" w:rsidP="00B04704">
            <w:pPr>
              <w:pStyle w:val="prastasiniatinklio"/>
              <w:numPr>
                <w:ilvl w:val="0"/>
                <w:numId w:val="1"/>
              </w:numPr>
              <w:spacing w:before="0" w:beforeAutospacing="0" w:after="0" w:afterAutospacing="0"/>
              <w:ind w:left="0" w:firstLine="0"/>
              <w:jc w:val="both"/>
              <w:rPr>
                <w:lang w:val="lt-LT"/>
              </w:rPr>
            </w:pPr>
            <w:r w:rsidRPr="00DB3818">
              <w:rPr>
                <w:lang w:val="lt-LT"/>
              </w:rPr>
              <w:t xml:space="preserve">Techninės specifikacijos 2 lentelėje pateikti vidutinės metinės didžiausios leistinos koncentracijos (DLK) rodikliai, kuriais, kaip suprantama, tiekėjai turi vadovautis parinkdami ir siūlydami nuotekų valymo įrenginių technologinius sprendinius šiame pirkimo etape. Tačiau pastaboje prie lentelės nurodyta, kad rengiant statinio projektą išvalymo rodikliai bus nustatomi vadovaujantis Nuotekų tvarkymo reglamentu, įvertinus </w:t>
            </w:r>
            <w:r w:rsidRPr="00DB3818">
              <w:rPr>
                <w:lang w:val="lt-LT"/>
              </w:rPr>
              <w:lastRenderedPageBreak/>
              <w:t>planuojamų išleisti nuotekų poveikį priimtuvui ir nustačius priimtiną apkrovą. Atkreipiame dėmesį, kad tokia nuostata sudaro dviprasmybę dėl projektinių išvalymo rodiklių, nes šiuo pirkimo etapu tiekėjai turi parinkti technologinius sprendinius pagal pirkimo dokumentuose pateiktus DLK rodiklius, tačiau tuo pačiu nurodoma galimybė, kad projektavimo metu šie rodikliai gali būti tikslinami ar griežtinami įvertinus priimtuvo būklę. Tokiu atveju atsiranda neapibrėžtumo ir technologinės bei finansinės rizikos rangovui, nes technologiniai sprendiniai ir įrenginių pajėgumai parenkami pagal pirkimo dokumentuose nustatytus parametrus, o jų keitimas projektavimo stadijoje gali lemti esminius technologinių sprendinių ir įrangos parametrų pokyčius. Atsižvelgiant į tai, prašome patikslinti:</w:t>
            </w:r>
          </w:p>
          <w:p w14:paraId="2815F92C" w14:textId="77777777" w:rsidR="00DB3818" w:rsidRPr="00DB3818" w:rsidRDefault="00DB3818" w:rsidP="00B04704">
            <w:pPr>
              <w:pStyle w:val="prastasiniatinklio"/>
              <w:numPr>
                <w:ilvl w:val="1"/>
                <w:numId w:val="1"/>
              </w:numPr>
              <w:spacing w:before="0" w:beforeAutospacing="0" w:after="0" w:afterAutospacing="0"/>
              <w:ind w:left="0" w:firstLine="0"/>
              <w:jc w:val="both"/>
              <w:rPr>
                <w:lang w:val="lt-LT"/>
              </w:rPr>
            </w:pPr>
            <w:r w:rsidRPr="00DB3818">
              <w:rPr>
                <w:lang w:val="lt-LT"/>
              </w:rPr>
              <w:t>ar Techninės specifikacijos 2 lentelėje nurodyti DLK rodikliai laikytini galutiniais projektiniais rodikliais, kuriais turi būti vadovaujamasi parenkant technologinius sprendinius šiame pirkimo etape;</w:t>
            </w:r>
          </w:p>
          <w:p w14:paraId="3D2798D4" w14:textId="28B4B4EB" w:rsidR="00DB3818" w:rsidRPr="00DB3818" w:rsidRDefault="00DB3818" w:rsidP="00B04704">
            <w:pPr>
              <w:pStyle w:val="prastasiniatinklio"/>
              <w:numPr>
                <w:ilvl w:val="1"/>
                <w:numId w:val="1"/>
              </w:numPr>
              <w:spacing w:before="0" w:beforeAutospacing="0" w:after="0" w:afterAutospacing="0"/>
              <w:ind w:left="0" w:firstLine="0"/>
              <w:jc w:val="both"/>
            </w:pPr>
            <w:r w:rsidRPr="00DB3818">
              <w:rPr>
                <w:lang w:val="lt-LT"/>
              </w:rPr>
              <w:t>jeigu išvalymo rodikliai gali būti nustatomi papildomai įvertinus priimtuvą, prašome pateikti visą informaciją apie priimtuvo būklę ir jo hidrologinius bei ekologinius parametrus, reikalingus planuojamų išleisti nuotekų poveikiui įvertinti, kad visi tiekėjai galėtų vienodomis sąlygomis įvertinti reikalingus pasiekti išvalymo rodiklius ir parinkti technologinius sprendinius.</w:t>
            </w:r>
          </w:p>
        </w:tc>
        <w:tc>
          <w:tcPr>
            <w:tcW w:w="5316" w:type="dxa"/>
          </w:tcPr>
          <w:p w14:paraId="457FBB03" w14:textId="52385B9B" w:rsidR="00891083" w:rsidRPr="00891083" w:rsidRDefault="00891083" w:rsidP="00B04704">
            <w:pPr>
              <w:jc w:val="both"/>
              <w:rPr>
                <w:rFonts w:ascii="Times New Roman" w:hAnsi="Times New Roman" w:cs="Times New Roman"/>
              </w:rPr>
            </w:pPr>
            <w:r w:rsidRPr="00891083">
              <w:rPr>
                <w:rFonts w:ascii="Times New Roman" w:hAnsi="Times New Roman" w:cs="Times New Roman"/>
                <w:bCs/>
              </w:rPr>
              <w:lastRenderedPageBreak/>
              <w:t xml:space="preserve">Paaiškiname, kad </w:t>
            </w:r>
            <w:r w:rsidRPr="00891083">
              <w:rPr>
                <w:rFonts w:ascii="Times New Roman" w:hAnsi="Times New Roman" w:cs="Times New Roman"/>
              </w:rPr>
              <w:t>Techninės specifikacijos 2 lentelėje nurodyti DLK rodikliai laikytini galutiniais projektiniais rodikliais, kuriais turi būti vadovaujamasi parenkant technologinius sprendinius šiame pirkimo etape.</w:t>
            </w:r>
          </w:p>
          <w:p w14:paraId="50364AD7" w14:textId="577EC382" w:rsidR="00891083" w:rsidRPr="00891083" w:rsidRDefault="00891083" w:rsidP="00B04704">
            <w:pPr>
              <w:jc w:val="both"/>
              <w:rPr>
                <w:rFonts w:ascii="Times New Roman" w:hAnsi="Times New Roman" w:cs="Times New Roman"/>
              </w:rPr>
            </w:pPr>
            <w:r>
              <w:rPr>
                <w:rFonts w:ascii="Times New Roman" w:hAnsi="Times New Roman" w:cs="Times New Roman"/>
                <w:bCs/>
                <w:i/>
              </w:rPr>
              <w:t xml:space="preserve">Pastaba: </w:t>
            </w:r>
            <w:r w:rsidRPr="00891083">
              <w:rPr>
                <w:rFonts w:ascii="Times New Roman" w:hAnsi="Times New Roman" w:cs="Times New Roman"/>
                <w:bCs/>
                <w:i/>
              </w:rPr>
              <w:t xml:space="preserve">Pagal šiuo metu galiojančio </w:t>
            </w:r>
            <w:r w:rsidRPr="00891083">
              <w:rPr>
                <w:rFonts w:ascii="Times New Roman" w:hAnsi="Times New Roman" w:cs="Times New Roman"/>
              </w:rPr>
              <w:t>Taršos leidimo Nr. 2/2-06/TL-K.1-37/2021 2B lentelę:</w:t>
            </w:r>
          </w:p>
          <w:p w14:paraId="4DE1F165" w14:textId="3D6EBC15" w:rsidR="00891083" w:rsidRPr="00891083" w:rsidRDefault="00891083" w:rsidP="00B04704">
            <w:pPr>
              <w:jc w:val="both"/>
              <w:rPr>
                <w:rFonts w:ascii="Times New Roman" w:hAnsi="Times New Roman" w:cs="Times New Roman"/>
                <w:bCs/>
              </w:rPr>
            </w:pPr>
            <w:r w:rsidRPr="00891083">
              <w:rPr>
                <w:rFonts w:ascii="Times New Roman" w:hAnsi="Times New Roman" w:cs="Times New Roman"/>
              </w:rPr>
              <w:drawing>
                <wp:inline distT="0" distB="0" distL="0" distR="0" wp14:anchorId="46765AA1" wp14:editId="436D4327">
                  <wp:extent cx="3234278" cy="1001864"/>
                  <wp:effectExtent l="0" t="0" r="4445" b="8255"/>
                  <wp:docPr id="197630372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58724" cy="1009437"/>
                          </a:xfrm>
                          <a:prstGeom prst="rect">
                            <a:avLst/>
                          </a:prstGeom>
                          <a:noFill/>
                          <a:ln>
                            <a:noFill/>
                          </a:ln>
                        </pic:spPr>
                      </pic:pic>
                    </a:graphicData>
                  </a:graphic>
                </wp:inline>
              </w:drawing>
            </w:r>
          </w:p>
          <w:p w14:paraId="331EC9BE" w14:textId="77777777" w:rsidR="00DB3818" w:rsidRPr="00DB3818" w:rsidRDefault="00DB3818" w:rsidP="00B04704">
            <w:pPr>
              <w:jc w:val="both"/>
              <w:rPr>
                <w:rFonts w:ascii="Times New Roman" w:hAnsi="Times New Roman" w:cs="Times New Roman"/>
              </w:rPr>
            </w:pPr>
          </w:p>
        </w:tc>
      </w:tr>
      <w:tr w:rsidR="00DB3818" w:rsidRPr="00DB3818" w14:paraId="0EAEBAF2" w14:textId="77777777" w:rsidTr="00B04704">
        <w:tc>
          <w:tcPr>
            <w:tcW w:w="4312" w:type="dxa"/>
          </w:tcPr>
          <w:p w14:paraId="7627A230" w14:textId="77777777" w:rsidR="00DB3818" w:rsidRPr="00DB3818" w:rsidRDefault="00DB3818" w:rsidP="00B04704">
            <w:pPr>
              <w:pStyle w:val="prastasiniatinklio"/>
              <w:numPr>
                <w:ilvl w:val="0"/>
                <w:numId w:val="1"/>
              </w:numPr>
              <w:spacing w:before="0" w:beforeAutospacing="0" w:after="0" w:afterAutospacing="0"/>
              <w:ind w:left="0" w:firstLine="0"/>
              <w:jc w:val="both"/>
              <w:rPr>
                <w:lang w:val="lt-LT"/>
              </w:rPr>
            </w:pPr>
            <w:r w:rsidRPr="00DB3818">
              <w:rPr>
                <w:lang w:val="lt-LT"/>
              </w:rPr>
              <w:lastRenderedPageBreak/>
              <w:t xml:space="preserve">Techninėje specifikacijoje numatyta biologinio proceso valdymui įrengti </w:t>
            </w:r>
            <w:r w:rsidRPr="00DB3818">
              <w:rPr>
                <w:rFonts w:eastAsiaTheme="majorEastAsia"/>
                <w:lang w:val="lt-LT"/>
              </w:rPr>
              <w:t>nitratų ir amonio analizatorius</w:t>
            </w:r>
            <w:r w:rsidRPr="00DB3818">
              <w:rPr>
                <w:lang w:val="lt-LT"/>
              </w:rPr>
              <w:t>. Atkreipiame dėmesį, kad tokio našumo nuotekų valymo įrenginiuose (</w:t>
            </w:r>
            <w:r w:rsidRPr="00DB3818">
              <w:rPr>
                <w:rFonts w:eastAsiaTheme="majorEastAsia"/>
                <w:lang w:val="lt-LT"/>
              </w:rPr>
              <w:t>apie 200 m³/d</w:t>
            </w:r>
            <w:r w:rsidRPr="00DB3818">
              <w:rPr>
                <w:lang w:val="lt-LT"/>
              </w:rPr>
              <w:t xml:space="preserve">) šių analizatorių įrengimas gali </w:t>
            </w:r>
            <w:r w:rsidRPr="00DB3818">
              <w:rPr>
                <w:rFonts w:eastAsiaTheme="majorEastAsia"/>
                <w:lang w:val="lt-LT"/>
              </w:rPr>
              <w:t>nepagrįstai padidinti technologinės įrangos ir eksploatacijos kaštus</w:t>
            </w:r>
            <w:r w:rsidRPr="00DB3818">
              <w:rPr>
                <w:lang w:val="lt-LT"/>
              </w:rPr>
              <w:t>. Prašome patikslinti:</w:t>
            </w:r>
          </w:p>
          <w:p w14:paraId="6986098A" w14:textId="77777777" w:rsidR="00DB3818" w:rsidRPr="00DB3818" w:rsidRDefault="00DB3818" w:rsidP="00B04704">
            <w:pPr>
              <w:pStyle w:val="prastasiniatinklio"/>
              <w:numPr>
                <w:ilvl w:val="1"/>
                <w:numId w:val="1"/>
              </w:numPr>
              <w:spacing w:before="0" w:beforeAutospacing="0" w:after="0" w:afterAutospacing="0"/>
              <w:ind w:left="0" w:firstLine="0"/>
              <w:jc w:val="both"/>
              <w:rPr>
                <w:lang w:val="lt-LT"/>
              </w:rPr>
            </w:pPr>
            <w:r w:rsidRPr="00DB3818">
              <w:rPr>
                <w:lang w:val="lt-LT"/>
              </w:rPr>
              <w:t>ar nitratų ir amonio analizatorių įrengimas yra privalomas reikalavimas;</w:t>
            </w:r>
          </w:p>
          <w:p w14:paraId="30A65551" w14:textId="378D5631" w:rsidR="00DB3818" w:rsidRPr="00DB3818" w:rsidRDefault="00DB3818" w:rsidP="00B04704">
            <w:pPr>
              <w:pStyle w:val="prastasiniatinklio"/>
              <w:numPr>
                <w:ilvl w:val="1"/>
                <w:numId w:val="1"/>
              </w:numPr>
              <w:spacing w:before="0" w:beforeAutospacing="0" w:after="0" w:afterAutospacing="0"/>
              <w:ind w:left="0" w:firstLine="0"/>
              <w:jc w:val="both"/>
            </w:pPr>
            <w:r w:rsidRPr="00DB3818">
              <w:rPr>
                <w:lang w:val="lt-LT"/>
              </w:rPr>
              <w:t xml:space="preserve">ar galima siūlyti kitus technologiškai lygiaverčius biologinio </w:t>
            </w:r>
            <w:r w:rsidRPr="00DB3818">
              <w:rPr>
                <w:lang w:val="lt-LT"/>
              </w:rPr>
              <w:lastRenderedPageBreak/>
              <w:t>proceso valdymo sprendinius, kurie užtikrina stabilų proceso veikimą ir reikalaujamų išvalymo rodiklių pasiekimą.</w:t>
            </w:r>
          </w:p>
        </w:tc>
        <w:tc>
          <w:tcPr>
            <w:tcW w:w="5316" w:type="dxa"/>
          </w:tcPr>
          <w:p w14:paraId="291DE75E" w14:textId="063B1315" w:rsidR="00B04704" w:rsidRPr="00B04704" w:rsidRDefault="00B04704" w:rsidP="00B04704">
            <w:pPr>
              <w:numPr>
                <w:ilvl w:val="0"/>
                <w:numId w:val="5"/>
              </w:numPr>
              <w:ind w:left="0" w:hanging="24"/>
              <w:jc w:val="both"/>
              <w:rPr>
                <w:rFonts w:ascii="Times New Roman" w:hAnsi="Times New Roman" w:cs="Times New Roman"/>
                <w:bCs/>
                <w:sz w:val="24"/>
                <w:szCs w:val="24"/>
              </w:rPr>
            </w:pPr>
            <w:r w:rsidRPr="00B04704">
              <w:rPr>
                <w:rFonts w:ascii="Times New Roman" w:hAnsi="Times New Roman" w:cs="Times New Roman"/>
                <w:bCs/>
                <w:sz w:val="24"/>
                <w:szCs w:val="24"/>
              </w:rPr>
              <w:lastRenderedPageBreak/>
              <w:t xml:space="preserve">Taip, </w:t>
            </w:r>
            <w:r w:rsidRPr="00B04704">
              <w:rPr>
                <w:rFonts w:ascii="Times New Roman" w:hAnsi="Times New Roman" w:cs="Times New Roman"/>
                <w:sz w:val="24"/>
                <w:szCs w:val="24"/>
              </w:rPr>
              <w:t>nitratų ir amonio analizatorių įrengimas yra privalomas reikalavimas. Nitratų ir amonio analizatoriai reikalingi siekiant stebėti jų koncentracijas valytose nuotekose. Šie analizatoriai neturėtų būti tiesiogiai susieti su biologinio proceso valdymu. Jų matuojama ir perduodama informacija bus naudojama įvertinti valytų nuotekų kokybę realiu laiku bei suteiks informacijos technologinio proceso reguliavimui, jei atsirastų nuokrypių.</w:t>
            </w:r>
          </w:p>
          <w:p w14:paraId="7B41CD33" w14:textId="77777777" w:rsidR="00B04704" w:rsidRPr="00B04704" w:rsidRDefault="00B04704" w:rsidP="00B04704">
            <w:pPr>
              <w:numPr>
                <w:ilvl w:val="0"/>
                <w:numId w:val="5"/>
              </w:numPr>
              <w:ind w:left="0" w:hanging="24"/>
              <w:jc w:val="both"/>
              <w:rPr>
                <w:rFonts w:ascii="Times New Roman" w:hAnsi="Times New Roman" w:cs="Times New Roman"/>
                <w:bCs/>
                <w:sz w:val="24"/>
                <w:szCs w:val="24"/>
              </w:rPr>
            </w:pPr>
            <w:r w:rsidRPr="00B04704">
              <w:rPr>
                <w:rFonts w:ascii="Times New Roman" w:hAnsi="Times New Roman" w:cs="Times New Roman"/>
                <w:bCs/>
                <w:sz w:val="24"/>
                <w:szCs w:val="24"/>
              </w:rPr>
              <w:t>Žr. atsakymą a).</w:t>
            </w:r>
          </w:p>
          <w:p w14:paraId="7823C0F7" w14:textId="266A0561" w:rsidR="00DB3818" w:rsidRPr="00DB3818" w:rsidRDefault="00DB3818" w:rsidP="00B04704">
            <w:pPr>
              <w:jc w:val="both"/>
              <w:rPr>
                <w:rFonts w:ascii="Times New Roman" w:hAnsi="Times New Roman" w:cs="Times New Roman"/>
              </w:rPr>
            </w:pPr>
          </w:p>
        </w:tc>
      </w:tr>
      <w:tr w:rsidR="00DB3818" w:rsidRPr="00DB3818" w14:paraId="1A4CA004" w14:textId="77777777" w:rsidTr="00B04704">
        <w:tc>
          <w:tcPr>
            <w:tcW w:w="4312" w:type="dxa"/>
          </w:tcPr>
          <w:p w14:paraId="34F2F6A2" w14:textId="77777777" w:rsidR="00DB3818" w:rsidRPr="00DB3818" w:rsidRDefault="00DB3818" w:rsidP="00B04704">
            <w:pPr>
              <w:pStyle w:val="prastasiniatinklio"/>
              <w:numPr>
                <w:ilvl w:val="0"/>
                <w:numId w:val="1"/>
              </w:numPr>
              <w:spacing w:before="0" w:beforeAutospacing="0" w:after="0" w:afterAutospacing="0"/>
              <w:ind w:left="0" w:firstLine="0"/>
              <w:jc w:val="both"/>
              <w:rPr>
                <w:lang w:val="lt-LT"/>
              </w:rPr>
            </w:pPr>
            <w:r w:rsidRPr="00DB3818">
              <w:rPr>
                <w:lang w:val="lt-LT"/>
              </w:rPr>
              <w:t>Pirkimo dokumentuose pateikiama techninė specifikacija ir principinė technologinė schema, tačiau vertinant šiuos dokumentus matyti, kad tarp jų kai kuriais aspektais yra neatitikimų tarp techninėje specifikacijoje nustatytų reikalavimų ir technologinėje schemoje pavaizduotų sprendinių. Atsižvelgiant į tai, prašome patikslinti:</w:t>
            </w:r>
          </w:p>
          <w:p w14:paraId="67EC6FC7" w14:textId="77777777" w:rsidR="00DB3818" w:rsidRPr="00DB3818" w:rsidRDefault="00DB3818" w:rsidP="00B04704">
            <w:pPr>
              <w:pStyle w:val="prastasiniatinklio"/>
              <w:numPr>
                <w:ilvl w:val="1"/>
                <w:numId w:val="1"/>
              </w:numPr>
              <w:spacing w:before="0" w:beforeAutospacing="0" w:after="0" w:afterAutospacing="0"/>
              <w:ind w:left="0" w:firstLine="0"/>
              <w:jc w:val="both"/>
              <w:rPr>
                <w:lang w:val="lt-LT"/>
              </w:rPr>
            </w:pPr>
            <w:r w:rsidRPr="00DB3818">
              <w:rPr>
                <w:lang w:val="lt-LT"/>
              </w:rPr>
              <w:t>ar principinė technologinė schema laikytina tik rekomendacinio pobūdžio dokumentu, skirtu parodyti bendrą technologinio proceso principą;</w:t>
            </w:r>
          </w:p>
          <w:p w14:paraId="748917B5" w14:textId="77777777" w:rsidR="00DB3818" w:rsidRPr="00DB3818" w:rsidRDefault="00DB3818" w:rsidP="00B04704">
            <w:pPr>
              <w:pStyle w:val="prastasiniatinklio"/>
              <w:numPr>
                <w:ilvl w:val="1"/>
                <w:numId w:val="1"/>
              </w:numPr>
              <w:spacing w:before="0" w:beforeAutospacing="0" w:after="0" w:afterAutospacing="0"/>
              <w:ind w:left="0" w:firstLine="0"/>
              <w:jc w:val="both"/>
              <w:rPr>
                <w:lang w:val="lt-LT"/>
              </w:rPr>
            </w:pPr>
            <w:r w:rsidRPr="00DB3818">
              <w:rPr>
                <w:lang w:val="lt-LT"/>
              </w:rPr>
              <w:t>ar tiekėjai gali siūlyti kitus technologiškai lygiaverčius technologinius sprendinius, jeigu jie atitinka techninės specifikacijos reikalavimus ir užtikrina projektinių valymo rodiklių pasiekimą.</w:t>
            </w:r>
          </w:p>
          <w:p w14:paraId="3E55A237" w14:textId="7735C65E" w:rsidR="00DB3818" w:rsidRPr="00DB3818" w:rsidRDefault="00DB3818" w:rsidP="00B04704">
            <w:pPr>
              <w:pStyle w:val="prastasiniatinklio"/>
              <w:numPr>
                <w:ilvl w:val="1"/>
                <w:numId w:val="1"/>
              </w:numPr>
              <w:spacing w:before="0" w:beforeAutospacing="0" w:after="0" w:afterAutospacing="0"/>
              <w:ind w:left="0" w:firstLine="0"/>
              <w:jc w:val="both"/>
              <w:rPr>
                <w:lang w:val="lt-LT"/>
              </w:rPr>
            </w:pPr>
            <w:r w:rsidRPr="00DB3818">
              <w:rPr>
                <w:lang w:val="lt-LT"/>
              </w:rPr>
              <w:t>Taip pat prašome patikslinti, kad techninės specifikacijos reikalavimai turi viršenybę prieš principinėje technologinėje schemoje pateiktus sprendinius, jei tarp šių dokumentų atsiranda neatitikimų.</w:t>
            </w:r>
          </w:p>
        </w:tc>
        <w:tc>
          <w:tcPr>
            <w:tcW w:w="5316" w:type="dxa"/>
          </w:tcPr>
          <w:p w14:paraId="5114FE77" w14:textId="43D3BC80" w:rsidR="00B04704" w:rsidRPr="00B04704" w:rsidRDefault="00B04704" w:rsidP="00B04704">
            <w:pPr>
              <w:pStyle w:val="prastasiniatinklio"/>
              <w:numPr>
                <w:ilvl w:val="2"/>
                <w:numId w:val="1"/>
              </w:numPr>
              <w:spacing w:before="0" w:beforeAutospacing="0" w:after="0" w:afterAutospacing="0"/>
              <w:ind w:left="-24" w:firstLine="24"/>
              <w:jc w:val="both"/>
              <w:rPr>
                <w:bCs/>
                <w:lang w:val="lt-LT"/>
              </w:rPr>
            </w:pPr>
            <w:r w:rsidRPr="00B04704">
              <w:rPr>
                <w:bCs/>
                <w:lang w:val="lt-LT"/>
              </w:rPr>
              <w:t xml:space="preserve">Taip, </w:t>
            </w:r>
            <w:r w:rsidRPr="00B04704">
              <w:rPr>
                <w:lang w:val="lt-LT"/>
              </w:rPr>
              <w:t>principinė technologinė schema laikytina tik rekomendacinio pobūdžio dokumentu, skirtu parodyti bendrą technologinio proceso principą.</w:t>
            </w:r>
          </w:p>
          <w:p w14:paraId="2D72FA64" w14:textId="327BDDAA" w:rsidR="00B04704" w:rsidRPr="00B04704" w:rsidRDefault="00B04704" w:rsidP="00B04704">
            <w:pPr>
              <w:pStyle w:val="prastasiniatinklio"/>
              <w:numPr>
                <w:ilvl w:val="2"/>
                <w:numId w:val="1"/>
              </w:numPr>
              <w:spacing w:before="0" w:beforeAutospacing="0" w:after="0" w:afterAutospacing="0"/>
              <w:ind w:left="-24" w:firstLine="24"/>
              <w:jc w:val="both"/>
              <w:rPr>
                <w:bCs/>
                <w:lang w:val="lt-LT"/>
              </w:rPr>
            </w:pPr>
            <w:r w:rsidRPr="00B04704">
              <w:rPr>
                <w:lang w:val="lt-LT"/>
              </w:rPr>
              <w:t>Tiekėjai gali siūlyti kitus technologiškai lygiaverčius technologinius sprendinius, jeigu jie atitinka techninės specifikacijos (su jos paaiškinimais ir pakeitimais) reikalavimus ir užtikrina projektinių išvalymo rodiklių pasiekimą.</w:t>
            </w:r>
          </w:p>
          <w:p w14:paraId="763CEC92" w14:textId="3FF9232F" w:rsidR="00DB3818" w:rsidRPr="00B04704" w:rsidRDefault="00B04704" w:rsidP="00B04704">
            <w:pPr>
              <w:pStyle w:val="prastasiniatinklio"/>
              <w:numPr>
                <w:ilvl w:val="2"/>
                <w:numId w:val="1"/>
              </w:numPr>
              <w:spacing w:before="0" w:beforeAutospacing="0" w:after="0" w:afterAutospacing="0"/>
              <w:ind w:left="-24" w:firstLine="24"/>
              <w:jc w:val="both"/>
              <w:rPr>
                <w:lang w:val="lt-LT"/>
              </w:rPr>
            </w:pPr>
            <w:r w:rsidRPr="00B04704">
              <w:rPr>
                <w:lang w:val="lt-LT"/>
              </w:rPr>
              <w:t>Paaiškiname, kad techninės specifikacijos (su jos paaiškinimais ir pakeitimais) reikalavimai turi viršenybę prieš principinėje technologinėje schemoje pateiktus sprendinius.</w:t>
            </w:r>
          </w:p>
        </w:tc>
      </w:tr>
    </w:tbl>
    <w:p w14:paraId="48FED780" w14:textId="77777777" w:rsidR="00A159C3" w:rsidRPr="00DB3818" w:rsidRDefault="00A159C3" w:rsidP="00DB3818">
      <w:pPr>
        <w:spacing w:after="0" w:line="240" w:lineRule="auto"/>
        <w:jc w:val="both"/>
        <w:rPr>
          <w:rFonts w:ascii="Times New Roman" w:hAnsi="Times New Roman" w:cs="Times New Roman"/>
        </w:rPr>
      </w:pPr>
    </w:p>
    <w:sectPr w:rsidR="00A159C3" w:rsidRPr="00DB3818" w:rsidSect="00D90039">
      <w:pgSz w:w="11906" w:h="16838"/>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A5BFB"/>
    <w:multiLevelType w:val="hybridMultilevel"/>
    <w:tmpl w:val="3E6AD992"/>
    <w:lvl w:ilvl="0" w:tplc="4092873A">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0D02124"/>
    <w:multiLevelType w:val="hybridMultilevel"/>
    <w:tmpl w:val="813EA08C"/>
    <w:lvl w:ilvl="0" w:tplc="AFE2DEF0">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E307726"/>
    <w:multiLevelType w:val="hybridMultilevel"/>
    <w:tmpl w:val="08447CE6"/>
    <w:lvl w:ilvl="0" w:tplc="16A8B35C">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136EA06C">
      <w:start w:val="1"/>
      <w:numFmt w:val="lowerLetter"/>
      <w:lvlText w:val="%3)"/>
      <w:lvlJc w:val="left"/>
      <w:pPr>
        <w:ind w:left="2340" w:hanging="360"/>
      </w:pPr>
      <w:rPr>
        <w:rFonts w:hint="default"/>
        <w:b w:val="0"/>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7E348FE"/>
    <w:multiLevelType w:val="hybridMultilevel"/>
    <w:tmpl w:val="8DB00968"/>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27C51A0"/>
    <w:multiLevelType w:val="hybridMultilevel"/>
    <w:tmpl w:val="BDF8448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B2D3AB3"/>
    <w:multiLevelType w:val="hybridMultilevel"/>
    <w:tmpl w:val="BDF8448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19431195">
    <w:abstractNumId w:val="2"/>
  </w:num>
  <w:num w:numId="2" w16cid:durableId="51391448">
    <w:abstractNumId w:val="3"/>
  </w:num>
  <w:num w:numId="3" w16cid:durableId="5464548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12876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44588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8041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9F1"/>
    <w:rsid w:val="000F3CD7"/>
    <w:rsid w:val="002D3328"/>
    <w:rsid w:val="003156C4"/>
    <w:rsid w:val="008079F1"/>
    <w:rsid w:val="00891083"/>
    <w:rsid w:val="00A159C3"/>
    <w:rsid w:val="00A42F9D"/>
    <w:rsid w:val="00B04704"/>
    <w:rsid w:val="00B32815"/>
    <w:rsid w:val="00D90039"/>
    <w:rsid w:val="00DB381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8CE24"/>
  <w15:chartTrackingRefBased/>
  <w15:docId w15:val="{489D89A5-B6C7-4B8D-A236-5E55BBF65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79F1"/>
  </w:style>
  <w:style w:type="paragraph" w:styleId="Antrat1">
    <w:name w:val="heading 1"/>
    <w:basedOn w:val="prastasis"/>
    <w:next w:val="prastasis"/>
    <w:link w:val="Antrat1Diagrama"/>
    <w:uiPriority w:val="9"/>
    <w:qFormat/>
    <w:rsid w:val="008079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079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079F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079F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079F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079F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079F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079F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079F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079F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079F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079F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079F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079F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079F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079F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079F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079F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079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079F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079F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079F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079F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079F1"/>
    <w:rPr>
      <w:i/>
      <w:iCs/>
      <w:color w:val="404040" w:themeColor="text1" w:themeTint="BF"/>
    </w:rPr>
  </w:style>
  <w:style w:type="paragraph" w:styleId="Sraopastraipa">
    <w:name w:val="List Paragraph"/>
    <w:basedOn w:val="prastasis"/>
    <w:uiPriority w:val="34"/>
    <w:qFormat/>
    <w:rsid w:val="008079F1"/>
    <w:pPr>
      <w:ind w:left="720"/>
      <w:contextualSpacing/>
    </w:pPr>
  </w:style>
  <w:style w:type="character" w:styleId="Rykuspabraukimas">
    <w:name w:val="Intense Emphasis"/>
    <w:basedOn w:val="Numatytasispastraiposriftas"/>
    <w:uiPriority w:val="21"/>
    <w:qFormat/>
    <w:rsid w:val="008079F1"/>
    <w:rPr>
      <w:i/>
      <w:iCs/>
      <w:color w:val="2F5496" w:themeColor="accent1" w:themeShade="BF"/>
    </w:rPr>
  </w:style>
  <w:style w:type="paragraph" w:styleId="Iskirtacitata">
    <w:name w:val="Intense Quote"/>
    <w:basedOn w:val="prastasis"/>
    <w:next w:val="prastasis"/>
    <w:link w:val="IskirtacitataDiagrama"/>
    <w:uiPriority w:val="30"/>
    <w:qFormat/>
    <w:rsid w:val="008079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079F1"/>
    <w:rPr>
      <w:i/>
      <w:iCs/>
      <w:color w:val="2F5496" w:themeColor="accent1" w:themeShade="BF"/>
    </w:rPr>
  </w:style>
  <w:style w:type="character" w:styleId="Rykinuoroda">
    <w:name w:val="Intense Reference"/>
    <w:basedOn w:val="Numatytasispastraiposriftas"/>
    <w:uiPriority w:val="32"/>
    <w:qFormat/>
    <w:rsid w:val="008079F1"/>
    <w:rPr>
      <w:b/>
      <w:bCs/>
      <w:smallCaps/>
      <w:color w:val="2F5496" w:themeColor="accent1" w:themeShade="BF"/>
      <w:spacing w:val="5"/>
    </w:rPr>
  </w:style>
  <w:style w:type="table" w:styleId="Lentelstinklelis">
    <w:name w:val="Table Grid"/>
    <w:basedOn w:val="prastojilentel"/>
    <w:uiPriority w:val="39"/>
    <w:rsid w:val="00807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DB381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Grietas">
    <w:name w:val="Strong"/>
    <w:basedOn w:val="Numatytasispastraiposriftas"/>
    <w:uiPriority w:val="22"/>
    <w:qFormat/>
    <w:rsid w:val="00DB38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8644</Words>
  <Characters>4928</Characters>
  <Application>Microsoft Office Word</Application>
  <DocSecurity>0</DocSecurity>
  <Lines>41</Lines>
  <Paragraphs>27</Paragraphs>
  <ScaleCrop>false</ScaleCrop>
  <Company/>
  <LinksUpToDate>false</LinksUpToDate>
  <CharactersWithSpaces>13545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Rusonienė</dc:creator>
  <cp:keywords/>
  <dc:description/>
  <cp:lastModifiedBy>Sandra Rusonienė</cp:lastModifiedBy>
  <cp:revision>6</cp:revision>
  <dcterms:created xsi:type="dcterms:W3CDTF">2026-03-17T12:50:00Z</dcterms:created>
  <dcterms:modified xsi:type="dcterms:W3CDTF">2026-03-17T13:21:00Z</dcterms:modified>
</cp:coreProperties>
</file>